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tabs>
          <w:tab w:pos="9360" w:val="right"/>
        </w:tabs>
        <w:spacing w:line="240" w:lineRule="auto" w:before="0" w:after="100"/>
        <w:ind w:left="0"/>
        <w:jc w:val="center"/>
      </w:pPr>
      <w:r>
        <w:rPr>
          <w:rFonts w:ascii="P052" w:hAnsi="P052"/>
          <w:b w:val="0"/>
          <w:i w:val="0"/>
          <w:sz w:val="34"/>
        </w:rPr>
        <w:t>J</w:t>
      </w:r>
      <w:r>
        <w:rPr>
          <w:rFonts w:ascii="P052" w:hAnsi="P052"/>
          <w:b w:val="0"/>
          <w:i w:val="0"/>
          <w:sz w:val="27"/>
        </w:rPr>
        <w:t>IAO</w:t>
      </w:r>
      <w:r>
        <w:rPr>
          <w:rFonts w:ascii="P052" w:hAnsi="P052"/>
          <w:b w:val="0"/>
          <w:i w:val="0"/>
          <w:sz w:val="34"/>
        </w:rPr>
        <w:t xml:space="preserve"> N</w:t>
      </w:r>
      <w:r>
        <w:rPr>
          <w:rFonts w:ascii="P052" w:hAnsi="P052"/>
          <w:b w:val="0"/>
          <w:i w:val="0"/>
          <w:sz w:val="27"/>
        </w:rPr>
        <w:t>ING</w:t>
      </w:r>
    </w:p>
    <w:p>
      <w:pPr>
        <w:widowControl/>
        <w:tabs>
          <w:tab w:pos="9360" w:val="right"/>
        </w:tabs>
        <w:spacing w:line="240" w:lineRule="auto" w:before="0" w:after="60"/>
        <w:ind w:left="0"/>
        <w:jc w:val="center"/>
      </w:pPr>
      <w:r>
        <w:rPr>
          <w:rFonts w:ascii="P052" w:hAnsi="P052"/>
          <w:b w:val="0"/>
          <w:i w:val="0"/>
          <w:sz w:val="21"/>
        </w:rPr>
        <w:t>Department of Political Science, Purdue University</w:t>
      </w:r>
    </w:p>
    <w:p>
      <w:pPr>
        <w:widowControl/>
        <w:tabs>
          <w:tab w:pos="9360" w:val="right"/>
        </w:tabs>
        <w:spacing w:line="240" w:lineRule="auto" w:before="0" w:after="60"/>
        <w:ind w:left="0"/>
        <w:jc w:val="center"/>
      </w:pPr>
      <w:r>
        <w:rPr>
          <w:rFonts w:ascii="P052" w:hAnsi="P052"/>
          <w:b w:val="0"/>
          <w:i w:val="0"/>
          <w:sz w:val="21"/>
        </w:rPr>
        <w:t>Beering Hall of Liberal Arts and Education, 100 North University Street, West Lafayette, IN 47907</w:t>
      </w:r>
    </w:p>
    <w:p>
      <w:pPr>
        <w:widowControl/>
        <w:tabs>
          <w:tab w:pos="9360" w:val="right"/>
        </w:tabs>
        <w:spacing w:line="240" w:lineRule="auto" w:before="0" w:after="60"/>
        <w:ind w:left="0"/>
        <w:jc w:val="center"/>
      </w:pPr>
      <w:r>
        <w:rPr>
          <w:rFonts w:ascii="P052" w:hAnsi="P052"/>
          <w:b w:val="0"/>
          <w:i w:val="0"/>
          <w:sz w:val="21"/>
        </w:rPr>
        <w:t>ning24@purdue.edu</w:t>
      </w:r>
      <w:r>
        <w:rPr>
          <w:rFonts w:ascii="P052" w:hAnsi="P052"/>
          <w:b w:val="0"/>
          <w:i w:val="0"/>
          <w:sz w:val="22"/>
        </w:rPr>
        <w:t xml:space="preserve"> ·</w:t>
      </w:r>
      <w:r>
        <w:rPr>
          <w:rFonts w:ascii="P052" w:hAnsi="P052"/>
          <w:b w:val="0"/>
          <w:i w:val="0"/>
          <w:sz w:val="21"/>
        </w:rPr>
        <w:t xml:space="preserve"> jiao-ning.github.io</w:t>
      </w:r>
      <w:r>
        <w:rPr>
          <w:rFonts w:ascii="P052" w:hAnsi="P052"/>
          <w:b w:val="0"/>
          <w:i w:val="0"/>
          <w:sz w:val="22"/>
        </w:rPr>
        <w:t xml:space="preserve"> ·</w:t>
      </w:r>
      <w:r>
        <w:rPr>
          <w:rFonts w:ascii="P052" w:hAnsi="P052"/>
          <w:b w:val="0"/>
          <w:i w:val="0"/>
          <w:sz w:val="21"/>
        </w:rPr>
        <w:t xml:space="preserve"> linkedin.com/in/jiao-ning65</w:t>
      </w:r>
    </w:p>
    <w:p>
      <w:pPr>
        <w:tabs>
          <w:tab w:pos="9360" w:val="right"/>
        </w:tabs>
        <w:spacing w:line="240" w:lineRule="auto" w:before="200" w:after="120"/>
        <w:ind w:left="6"/>
        <w:keepNext/>
        <w:widowControl/>
        <w:pBdr>
          <w:bottom w:val="single" w:sz="3" w:color="8195B3" w:space="2"/>
        </w:pBdr>
      </w:pPr>
      <w:r>
        <w:rPr>
          <w:rFonts w:ascii="P052" w:hAnsi="P052"/>
          <w:b w:val="0"/>
          <w:i w:val="0"/>
          <w:color w:val="254478"/>
          <w:sz w:val="23"/>
        </w:rPr>
        <w:t>E</w:t>
      </w:r>
      <w:r>
        <w:rPr>
          <w:rFonts w:ascii="P052" w:hAnsi="P052"/>
          <w:b w:val="0"/>
          <w:i w:val="0"/>
          <w:color w:val="254478"/>
          <w:sz w:val="19"/>
        </w:rPr>
        <w:t>DUCATION</w:t>
      </w:r>
    </w:p>
    <w:p>
      <w:pPr>
        <w:keepNext/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/>
          <w:i w:val="0"/>
          <w:sz w:val="21"/>
        </w:rPr>
        <w:t>Ph.D., Political Science, Purdue University</w:t>
      </w:r>
      <w:r>
        <w:tab/>
      </w:r>
      <w:r>
        <w:rPr>
          <w:rFonts w:ascii="P052" w:hAnsi="P052"/>
          <w:b w:val="0"/>
          <w:i w:val="0"/>
          <w:sz w:val="21"/>
        </w:rPr>
        <w:t>Expected 2029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/>
          <w:sz w:val="21"/>
        </w:rPr>
        <w:t>Major field: International Relations (International Political Economy)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/>
          <w:sz w:val="21"/>
        </w:rPr>
        <w:t>Minor field: Comparative Politics</w:t>
      </w:r>
    </w:p>
    <w:p>
      <w:pPr>
        <w:keepNext/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/>
          <w:i w:val="0"/>
          <w:sz w:val="21"/>
        </w:rPr>
        <w:t>M.P.A., Master of Public Affairs, Brown University</w:t>
      </w:r>
      <w:r>
        <w:tab/>
      </w:r>
      <w:r>
        <w:rPr>
          <w:rFonts w:ascii="P052" w:hAnsi="P052"/>
          <w:b w:val="0"/>
          <w:i w:val="0"/>
          <w:sz w:val="21"/>
        </w:rPr>
        <w:t>2022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/>
          <w:sz w:val="21"/>
        </w:rPr>
        <w:t>Watson Institute for International and Public Affairs</w:t>
      </w:r>
    </w:p>
    <w:p>
      <w:pPr>
        <w:keepNext/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/>
          <w:i w:val="0"/>
          <w:sz w:val="21"/>
        </w:rPr>
        <w:t>B.A., International Studies – International Business,</w:t>
      </w:r>
      <w:r>
        <w:rPr>
          <w:rFonts w:ascii="P052" w:hAnsi="P052"/>
          <w:b/>
          <w:i/>
          <w:sz w:val="21"/>
        </w:rPr>
        <w:t xml:space="preserve"> magna cum laude</w:t>
      </w:r>
      <w:r>
        <w:tab/>
      </w:r>
      <w:r>
        <w:rPr>
          <w:rFonts w:ascii="P052" w:hAnsi="P052"/>
          <w:b w:val="0"/>
          <w:i w:val="0"/>
          <w:sz w:val="21"/>
        </w:rPr>
        <w:t>2020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/>
          <w:sz w:val="21"/>
        </w:rPr>
        <w:t>University of California, San Diego</w:t>
      </w:r>
    </w:p>
    <w:p>
      <w:pPr>
        <w:keepNext/>
        <w:widowControl/>
        <w:tabs>
          <w:tab w:pos="9360" w:val="right"/>
        </w:tabs>
        <w:spacing w:line="240" w:lineRule="auto" w:before="100" w:after="60"/>
        <w:ind w:left="0"/>
      </w:pPr>
      <w:r>
        <w:rPr>
          <w:rFonts w:ascii="P052" w:hAnsi="P052"/>
          <w:b w:val="0"/>
          <w:i/>
          <w:sz w:val="21"/>
        </w:rPr>
        <w:t>Additional Training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The Political Economy of Globalization (non-degree coursework), Harvard Kennedy School</w:t>
        <w:tab/>
        <w:t>2021</w:t>
      </w:r>
    </w:p>
    <w:p>
      <w:pPr>
        <w:tabs>
          <w:tab w:pos="9360" w:val="right"/>
        </w:tabs>
        <w:spacing w:line="240" w:lineRule="auto" w:before="200" w:after="120"/>
        <w:ind w:left="6"/>
        <w:keepNext/>
        <w:widowControl/>
        <w:pBdr>
          <w:bottom w:val="single" w:sz="3" w:color="8195B3" w:space="2"/>
        </w:pBdr>
      </w:pPr>
      <w:r>
        <w:rPr>
          <w:rFonts w:ascii="P052" w:hAnsi="P052"/>
          <w:b w:val="0"/>
          <w:i w:val="0"/>
          <w:color w:val="254478"/>
          <w:sz w:val="23"/>
        </w:rPr>
        <w:t>R</w:t>
      </w:r>
      <w:r>
        <w:rPr>
          <w:rFonts w:ascii="P052" w:hAnsi="P052"/>
          <w:b w:val="0"/>
          <w:i w:val="0"/>
          <w:color w:val="254478"/>
          <w:sz w:val="19"/>
        </w:rPr>
        <w:t>ESEARCH</w:t>
      </w:r>
      <w:r>
        <w:rPr>
          <w:rFonts w:ascii="P052" w:hAnsi="P052"/>
          <w:b w:val="0"/>
          <w:i w:val="0"/>
          <w:color w:val="254478"/>
          <w:sz w:val="23"/>
        </w:rPr>
        <w:t xml:space="preserve"> I</w:t>
      </w:r>
      <w:r>
        <w:rPr>
          <w:rFonts w:ascii="P052" w:hAnsi="P052"/>
          <w:b w:val="0"/>
          <w:i w:val="0"/>
          <w:color w:val="254478"/>
          <w:sz w:val="19"/>
        </w:rPr>
        <w:t>NTERESTS</w:t>
      </w:r>
    </w:p>
    <w:p>
      <w:pPr>
        <w:widowControl/>
        <w:tabs>
          <w:tab w:pos="9360" w:val="right"/>
        </w:tabs>
        <w:spacing w:line="240" w:lineRule="auto" w:before="0" w:after="60"/>
        <w:ind w:left="0" w:firstLine="0"/>
      </w:pPr>
      <w:r>
        <w:rPr>
          <w:rFonts w:ascii="P052" w:hAnsi="P052"/>
          <w:b w:val="0"/>
          <w:i w:val="0"/>
          <w:sz w:val="21"/>
        </w:rPr>
        <w:t>International political economy; status politics and rising powers; science and technology policy;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legislative behavior; political communication; digital trade governance; computational text analysis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and LLM-based measurement; survey experiments.</w:t>
      </w:r>
    </w:p>
    <w:p>
      <w:pPr>
        <w:tabs>
          <w:tab w:pos="9360" w:val="right"/>
        </w:tabs>
        <w:spacing w:line="240" w:lineRule="auto" w:before="200" w:after="120"/>
        <w:ind w:left="6"/>
        <w:keepNext/>
        <w:widowControl/>
        <w:pBdr>
          <w:bottom w:val="single" w:sz="3" w:color="8195B3" w:space="2"/>
        </w:pBdr>
      </w:pPr>
      <w:r>
        <w:rPr>
          <w:rFonts w:ascii="P052" w:hAnsi="P052"/>
          <w:b w:val="0"/>
          <w:i w:val="0"/>
          <w:color w:val="254478"/>
          <w:sz w:val="23"/>
        </w:rPr>
        <w:t>R</w:t>
      </w:r>
      <w:r>
        <w:rPr>
          <w:rFonts w:ascii="P052" w:hAnsi="P052"/>
          <w:b w:val="0"/>
          <w:i w:val="0"/>
          <w:color w:val="254478"/>
          <w:sz w:val="19"/>
        </w:rPr>
        <w:t>ESEARCH</w:t>
      </w:r>
    </w:p>
    <w:p>
      <w:pPr>
        <w:keepNext/>
        <w:widowControl/>
        <w:tabs>
          <w:tab w:pos="9360" w:val="right"/>
        </w:tabs>
        <w:spacing w:line="240" w:lineRule="auto" w:before="100" w:after="60"/>
        <w:ind w:left="0"/>
      </w:pPr>
      <w:r>
        <w:rPr>
          <w:rFonts w:ascii="P052" w:hAnsi="P052"/>
          <w:b w:val="0"/>
          <w:i/>
          <w:sz w:val="21"/>
        </w:rPr>
        <w:t>Manuscripts Under Review</w:t>
      </w:r>
    </w:p>
    <w:p>
      <w:pPr>
        <w:widowControl/>
        <w:tabs>
          <w:tab w:pos="9360" w:val="right"/>
        </w:tabs>
        <w:spacing w:line="240" w:lineRule="auto" w:before="0" w:after="60"/>
        <w:ind w:left="320" w:hanging="320"/>
      </w:pPr>
      <w:r>
        <w:rPr>
          <w:rFonts w:ascii="P052" w:hAnsi="P052"/>
          <w:b/>
          <w:i w:val="0"/>
          <w:sz w:val="21"/>
        </w:rPr>
        <w:t>Jiao Ning</w:t>
      </w:r>
      <w:r>
        <w:rPr>
          <w:rFonts w:ascii="P052" w:hAnsi="P052"/>
          <w:b w:val="0"/>
          <w:i w:val="0"/>
          <w:sz w:val="21"/>
        </w:rPr>
        <w:t xml:space="preserve"> and Likun Cao. “Who Legislates for Science? Measuring Fifty Years of U.S. Congressional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Science Policy with a Large Language Model.” Under review at</w:t>
      </w:r>
      <w:r>
        <w:rPr>
          <w:rFonts w:ascii="P052" w:hAnsi="P052"/>
          <w:b w:val="0"/>
          <w:i/>
          <w:sz w:val="21"/>
        </w:rPr>
        <w:t xml:space="preserve"> Social Science Computer Review</w:t>
      </w:r>
      <w:r>
        <w:rPr>
          <w:rFonts w:ascii="P052" w:hAnsi="P052"/>
          <w:b w:val="0"/>
          <w:i w:val="0"/>
          <w:sz w:val="21"/>
        </w:rPr>
        <w:t>.</w:t>
      </w:r>
    </w:p>
    <w:p>
      <w:pPr>
        <w:keepNext/>
        <w:widowControl/>
        <w:tabs>
          <w:tab w:pos="9360" w:val="right"/>
        </w:tabs>
        <w:spacing w:line="240" w:lineRule="auto" w:before="100" w:after="60"/>
        <w:ind w:left="0"/>
      </w:pPr>
      <w:r>
        <w:rPr>
          <w:rFonts w:ascii="P052" w:hAnsi="P052"/>
          <w:b w:val="0"/>
          <w:i/>
          <w:sz w:val="21"/>
        </w:rPr>
        <w:t>Book Chapters in Progress</w:t>
      </w:r>
    </w:p>
    <w:p>
      <w:pPr>
        <w:widowControl/>
        <w:tabs>
          <w:tab w:pos="9360" w:val="right"/>
        </w:tabs>
        <w:spacing w:line="240" w:lineRule="auto" w:before="0" w:after="60"/>
        <w:ind w:left="320" w:hanging="320"/>
      </w:pPr>
      <w:r>
        <w:rPr>
          <w:rFonts w:ascii="P052" w:hAnsi="P052"/>
          <w:b/>
          <w:i w:val="0"/>
          <w:sz w:val="21"/>
        </w:rPr>
        <w:t>Jiao Ning</w:t>
      </w:r>
      <w:r>
        <w:rPr>
          <w:rFonts w:ascii="P052" w:hAnsi="P052"/>
          <w:b w:val="0"/>
          <w:i w:val="0"/>
          <w:sz w:val="21"/>
        </w:rPr>
        <w:t xml:space="preserve"> and Likun Cao. “Annotation as Measurement: Concept-Based Coding and Multimethod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Validation for LLM Classification in the Social Sciences.” Chapter proposal for</w:t>
      </w:r>
      <w:r>
        <w:rPr>
          <w:rFonts w:ascii="P052" w:hAnsi="P052"/>
          <w:b w:val="0"/>
          <w:i/>
          <w:sz w:val="21"/>
        </w:rPr>
        <w:t xml:space="preserve"> Doing Valid Social</w:t>
      </w:r>
      <w:r>
        <w:t xml:space="preserve"> </w:t>
      </w:r>
      <w:r>
        <w:rPr>
          <w:rFonts w:ascii="P052" w:hAnsi="P052"/>
          <w:b w:val="0"/>
          <w:i/>
          <w:sz w:val="21"/>
        </w:rPr>
        <w:t>Science with Large Language Models</w:t>
      </w:r>
      <w:r>
        <w:rPr>
          <w:rFonts w:ascii="P052" w:hAnsi="P052"/>
          <w:b w:val="0"/>
          <w:i w:val="0"/>
          <w:sz w:val="21"/>
        </w:rPr>
        <w:t>. Elgar Research Agendas. Edward Elgar Publishing.</w:t>
      </w:r>
    </w:p>
    <w:p>
      <w:pPr>
        <w:keepNext/>
        <w:widowControl/>
        <w:tabs>
          <w:tab w:pos="9360" w:val="right"/>
        </w:tabs>
        <w:spacing w:line="240" w:lineRule="auto" w:before="100" w:after="60"/>
        <w:ind w:left="0"/>
      </w:pPr>
      <w:r>
        <w:rPr>
          <w:rFonts w:ascii="P052" w:hAnsi="P052"/>
          <w:b w:val="0"/>
          <w:i/>
          <w:sz w:val="21"/>
        </w:rPr>
        <w:t>Works in Progress</w:t>
      </w:r>
    </w:p>
    <w:p>
      <w:pPr>
        <w:widowControl/>
        <w:tabs>
          <w:tab w:pos="9360" w:val="right"/>
        </w:tabs>
        <w:spacing w:line="240" w:lineRule="auto" w:before="0" w:after="60"/>
        <w:ind w:left="320" w:hanging="320"/>
      </w:pPr>
      <w:r>
        <w:rPr>
          <w:rFonts w:ascii="P052" w:hAnsi="P052"/>
          <w:b/>
          <w:i w:val="0"/>
          <w:sz w:val="21"/>
        </w:rPr>
        <w:t>Jiao Ning</w:t>
      </w:r>
      <w:r>
        <w:rPr>
          <w:rFonts w:ascii="P052" w:hAnsi="P052"/>
          <w:b w:val="0"/>
          <w:i w:val="0"/>
          <w:sz w:val="21"/>
        </w:rPr>
        <w:t>. “The Domestic Politics of Status Seeking: How Rising Powers Communicate Prestige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Projects Inward.”.</w:t>
      </w:r>
    </w:p>
    <w:p>
      <w:pPr>
        <w:widowControl/>
        <w:tabs>
          <w:tab w:pos="9360" w:val="right"/>
        </w:tabs>
        <w:spacing w:line="240" w:lineRule="auto" w:before="0" w:after="60"/>
        <w:ind w:left="320" w:hanging="320"/>
      </w:pPr>
      <w:r>
        <w:rPr>
          <w:rFonts w:ascii="P052" w:hAnsi="P052"/>
          <w:b/>
          <w:i w:val="0"/>
          <w:sz w:val="21"/>
        </w:rPr>
        <w:t>Jiao Ning</w:t>
      </w:r>
      <w:r>
        <w:rPr>
          <w:rFonts w:ascii="P052" w:hAnsi="P052"/>
          <w:b w:val="0"/>
          <w:i w:val="0"/>
          <w:sz w:val="21"/>
        </w:rPr>
        <w:t>. “Defensive Coalitions: Local Economic Interests and Restrictive Science Legislation in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an Era of Strategic Competition.”</w:t>
      </w:r>
    </w:p>
    <w:p>
      <w:pPr>
        <w:widowControl/>
        <w:tabs>
          <w:tab w:pos="9360" w:val="right"/>
        </w:tabs>
        <w:spacing w:line="240" w:lineRule="auto" w:before="0" w:after="60"/>
        <w:ind w:left="320" w:hanging="320"/>
      </w:pPr>
      <w:r>
        <w:rPr>
          <w:rFonts w:ascii="P052" w:hAnsi="P052"/>
          <w:b/>
          <w:i w:val="0"/>
          <w:sz w:val="22"/>
        </w:rPr>
        <w:t>Jiao Ning</w:t>
      </w:r>
      <w:r>
        <w:rPr>
          <w:rFonts w:ascii="P052" w:hAnsi="P052"/>
          <w:b w:val="0"/>
          <w:i w:val="0"/>
          <w:sz w:val="22"/>
        </w:rPr>
        <w:t>, Selen Dogan Kosterit, and Lisa Argyle. “How AI Influences Social Conformity in</w:t>
      </w:r>
      <w:r>
        <w:t xml:space="preserve"> </w:t>
      </w:r>
      <w:r>
        <w:rPr>
          <w:rFonts w:ascii="P052" w:hAnsi="P052"/>
          <w:b w:val="0"/>
          <w:i w:val="0"/>
          <w:sz w:val="22"/>
        </w:rPr>
        <w:t>Political Communication: Evidence from a Survey Experiment on Immigration Attitudes.”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Preregistered survey experiment.</w:t>
      </w:r>
    </w:p>
    <w:p>
      <w:pPr>
        <w:widowControl/>
        <w:tabs>
          <w:tab w:pos="9360" w:val="right"/>
        </w:tabs>
        <w:spacing w:line="240" w:lineRule="auto" w:before="0" w:after="60"/>
        <w:ind w:left="320" w:hanging="320"/>
      </w:pPr>
      <w:r>
        <w:rPr>
          <w:rFonts w:ascii="P052" w:hAnsi="P052"/>
          <w:b/>
          <w:i w:val="0"/>
          <w:sz w:val="21"/>
        </w:rPr>
        <w:t>Jiao Ning</w:t>
      </w:r>
      <w:r>
        <w:rPr>
          <w:rFonts w:ascii="P052" w:hAnsi="P052"/>
          <w:b w:val="0"/>
          <w:i w:val="0"/>
          <w:sz w:val="21"/>
        </w:rPr>
        <w:t>, Tyler Girard, and Mazie Bernard. “Making Digital Trade Legible: How Global North–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South Conflicts Shape the Measurement of Digital Trade.”</w:t>
      </w:r>
    </w:p>
    <w:p>
      <w:pPr>
        <w:keepNext/>
        <w:pageBreakBefore/>
        <w:tabs>
          <w:tab w:pos="9360" w:val="right"/>
        </w:tabs>
        <w:spacing w:line="240" w:lineRule="auto" w:before="0" w:after="120"/>
        <w:ind w:left="6"/>
        <w:widowControl/>
        <w:pBdr>
          <w:bottom w:val="single" w:sz="3" w:color="8195B3" w:space="2"/>
        </w:pBdr>
      </w:pPr>
      <w:r>
        <w:rPr>
          <w:rFonts w:ascii="P052" w:hAnsi="P052"/>
          <w:b w:val="0"/>
          <w:i w:val="0"/>
          <w:color w:val="254478"/>
          <w:sz w:val="23"/>
        </w:rPr>
        <w:t>C</w:t>
      </w:r>
      <w:r>
        <w:rPr>
          <w:rFonts w:ascii="P052" w:hAnsi="P052"/>
          <w:b w:val="0"/>
          <w:i w:val="0"/>
          <w:color w:val="254478"/>
          <w:sz w:val="19"/>
        </w:rPr>
        <w:t>ONFERENCE</w:t>
      </w:r>
      <w:r>
        <w:rPr>
          <w:rFonts w:ascii="P052" w:hAnsi="P052"/>
          <w:b w:val="0"/>
          <w:i w:val="0"/>
          <w:color w:val="254478"/>
          <w:sz w:val="23"/>
        </w:rPr>
        <w:t xml:space="preserve"> P</w:t>
      </w:r>
      <w:r>
        <w:rPr>
          <w:rFonts w:ascii="P052" w:hAnsi="P052"/>
          <w:b w:val="0"/>
          <w:i w:val="0"/>
          <w:color w:val="254478"/>
          <w:sz w:val="19"/>
        </w:rPr>
        <w:t>RESENTATIONS</w:t>
      </w:r>
    </w:p>
    <w:p>
      <w:pPr>
        <w:keepNext/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International Studies Association (ISA) Annual Convention, Atlanta, GA</w:t>
      </w:r>
      <w:r>
        <w:tab/>
      </w:r>
      <w:r>
        <w:rPr>
          <w:rFonts w:ascii="P052" w:hAnsi="P052"/>
          <w:b w:val="0"/>
          <w:i w:val="0"/>
          <w:sz w:val="21"/>
        </w:rPr>
        <w:t>2027</w:t>
      </w:r>
    </w:p>
    <w:p>
      <w:pPr>
        <w:widowControl/>
        <w:tabs>
          <w:tab w:pos="9360" w:val="right"/>
        </w:tabs>
        <w:spacing w:line="240" w:lineRule="auto" w:before="0" w:after="60"/>
        <w:ind w:left="280" w:firstLine="0"/>
      </w:pPr>
      <w:r>
        <w:rPr>
          <w:rFonts w:ascii="P052" w:hAnsi="P052"/>
          <w:b w:val="0"/>
          <w:i w:val="0"/>
          <w:sz w:val="21"/>
        </w:rPr>
        <w:t>“The Domestic Politics of Status Seeking: How Rising Powers Communicate Prestige Projects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Inward.”</w:t>
      </w:r>
    </w:p>
    <w:p>
      <w:pPr>
        <w:widowControl/>
        <w:tabs>
          <w:tab w:pos="9360" w:val="right"/>
        </w:tabs>
        <w:spacing w:line="240" w:lineRule="auto" w:before="0" w:after="60"/>
        <w:ind w:left="280" w:firstLine="0"/>
      </w:pPr>
      <w:r>
        <w:rPr>
          <w:rFonts w:ascii="P052" w:hAnsi="P052"/>
          <w:b w:val="0"/>
          <w:i w:val="0"/>
          <w:sz w:val="21"/>
        </w:rPr>
        <w:t>“Defensive Coalitions: Local Economic Interests and Restrictive Science Legislation in an Era of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Strategic Competition.”</w:t>
      </w:r>
    </w:p>
    <w:p>
      <w:pPr>
        <w:keepNext/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ISA-Northeast Annual Conference, Pittsburgh, PA</w:t>
      </w:r>
      <w:r>
        <w:tab/>
      </w:r>
      <w:r>
        <w:rPr>
          <w:rFonts w:ascii="P052" w:hAnsi="P052"/>
          <w:b w:val="0"/>
          <w:i w:val="0"/>
          <w:sz w:val="21"/>
        </w:rPr>
        <w:t>2026</w:t>
      </w:r>
    </w:p>
    <w:p>
      <w:pPr>
        <w:widowControl/>
        <w:tabs>
          <w:tab w:pos="9360" w:val="right"/>
        </w:tabs>
        <w:spacing w:line="240" w:lineRule="auto" w:before="0" w:after="60"/>
        <w:ind w:left="280" w:firstLine="0"/>
      </w:pPr>
      <w:r>
        <w:rPr>
          <w:rFonts w:ascii="P052" w:hAnsi="P052"/>
          <w:b/>
          <w:i w:val="0"/>
          <w:sz w:val="22"/>
        </w:rPr>
        <w:t>Jiao Ning</w:t>
      </w:r>
      <w:r>
        <w:rPr>
          <w:rFonts w:ascii="P052" w:hAnsi="P052"/>
          <w:b w:val="0"/>
          <w:i w:val="0"/>
          <w:sz w:val="22"/>
        </w:rPr>
        <w:t>, Tyler Girard, and Mazie Bernard. “Making Digital Trade Legible: How Global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North–South Conflicts Shape the Measurement of Digital Trade.”</w:t>
      </w:r>
    </w:p>
    <w:p>
      <w:pPr>
        <w:keepNext/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International Studies Association (ISA) Annual Convention, Columbus, OH</w:t>
      </w:r>
      <w:r>
        <w:tab/>
      </w:r>
      <w:r>
        <w:rPr>
          <w:rFonts w:ascii="P052" w:hAnsi="P052"/>
          <w:b w:val="0"/>
          <w:i w:val="0"/>
          <w:sz w:val="21"/>
        </w:rPr>
        <w:t>2026</w:t>
      </w:r>
    </w:p>
    <w:p>
      <w:pPr>
        <w:widowControl/>
        <w:tabs>
          <w:tab w:pos="9360" w:val="right"/>
        </w:tabs>
        <w:spacing w:line="240" w:lineRule="auto" w:before="0" w:after="60"/>
        <w:ind w:left="280" w:firstLine="0"/>
      </w:pPr>
      <w:r>
        <w:rPr>
          <w:rFonts w:ascii="P052" w:hAnsi="P052"/>
          <w:b/>
          <w:i w:val="0"/>
          <w:sz w:val="22"/>
        </w:rPr>
        <w:t>Jiao Ning</w:t>
      </w:r>
      <w:r>
        <w:rPr>
          <w:rFonts w:ascii="P052" w:hAnsi="P052"/>
          <w:b w:val="0"/>
          <w:i w:val="0"/>
          <w:sz w:val="22"/>
        </w:rPr>
        <w:t>, Tyler Girard, and Mazie Bernard. “Making Digital Trade Legible: How Global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North–South Conflicts Shape the Measurement of Digital Trade.”</w:t>
      </w:r>
    </w:p>
    <w:p>
      <w:pPr>
        <w:tabs>
          <w:tab w:pos="9360" w:val="right"/>
        </w:tabs>
        <w:spacing w:line="240" w:lineRule="auto" w:before="200" w:after="120"/>
        <w:ind w:left="6"/>
        <w:keepNext/>
        <w:widowControl/>
        <w:pBdr>
          <w:bottom w:val="single" w:sz="3" w:color="8195B3" w:space="2"/>
        </w:pBdr>
      </w:pPr>
      <w:r>
        <w:rPr>
          <w:rFonts w:ascii="P052" w:hAnsi="P052"/>
          <w:b w:val="0"/>
          <w:i w:val="0"/>
          <w:color w:val="254478"/>
          <w:sz w:val="23"/>
        </w:rPr>
        <w:t>G</w:t>
      </w:r>
      <w:r>
        <w:rPr>
          <w:rFonts w:ascii="P052" w:hAnsi="P052"/>
          <w:b w:val="0"/>
          <w:i w:val="0"/>
          <w:color w:val="254478"/>
          <w:sz w:val="19"/>
        </w:rPr>
        <w:t>RANTS</w:t>
      </w:r>
      <w:r>
        <w:rPr>
          <w:rFonts w:ascii="P052" w:hAnsi="P052"/>
          <w:b w:val="0"/>
          <w:i w:val="0"/>
          <w:color w:val="254478"/>
          <w:sz w:val="23"/>
        </w:rPr>
        <w:t>, H</w:t>
      </w:r>
      <w:r>
        <w:rPr>
          <w:rFonts w:ascii="P052" w:hAnsi="P052"/>
          <w:b w:val="0"/>
          <w:i w:val="0"/>
          <w:color w:val="254478"/>
          <w:sz w:val="19"/>
        </w:rPr>
        <w:t>ONORS</w:t>
      </w:r>
      <w:r>
        <w:rPr>
          <w:rFonts w:ascii="P052" w:hAnsi="P052"/>
          <w:b w:val="0"/>
          <w:i w:val="0"/>
          <w:color w:val="254478"/>
          <w:sz w:val="23"/>
        </w:rPr>
        <w:t>,</w:t>
      </w:r>
      <w:r>
        <w:rPr>
          <w:rFonts w:ascii="P052" w:hAnsi="P052"/>
          <w:b w:val="0"/>
          <w:i w:val="0"/>
          <w:color w:val="254478"/>
          <w:sz w:val="19"/>
        </w:rPr>
        <w:t xml:space="preserve"> AND</w:t>
      </w:r>
      <w:r>
        <w:rPr>
          <w:rFonts w:ascii="P052" w:hAnsi="P052"/>
          <w:b w:val="0"/>
          <w:i w:val="0"/>
          <w:color w:val="254478"/>
          <w:sz w:val="23"/>
        </w:rPr>
        <w:t xml:space="preserve"> A</w:t>
      </w:r>
      <w:r>
        <w:rPr>
          <w:rFonts w:ascii="P052" w:hAnsi="P052"/>
          <w:b w:val="0"/>
          <w:i w:val="0"/>
          <w:color w:val="254478"/>
          <w:sz w:val="19"/>
        </w:rPr>
        <w:t>WARDS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Travel Grant, ISA-Northeast</w:t>
      </w:r>
      <w:r>
        <w:tab/>
      </w:r>
      <w:r>
        <w:rPr>
          <w:rFonts w:ascii="P052" w:hAnsi="P052"/>
          <w:b w:val="0"/>
          <w:i w:val="0"/>
          <w:sz w:val="21"/>
        </w:rPr>
        <w:t>2026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PROMISE Award, Department of Political Science, Purdue University</w:t>
      </w:r>
      <w:r>
        <w:tab/>
      </w:r>
      <w:r>
        <w:rPr>
          <w:rFonts w:ascii="P052" w:hAnsi="P052"/>
          <w:b w:val="0"/>
          <w:i w:val="0"/>
          <w:sz w:val="21"/>
        </w:rPr>
        <w:t>2025, 2026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Merit Scholarship ($5,000), Master of Public Affairs Program, Brown University</w:t>
      </w:r>
      <w:r>
        <w:tab/>
      </w:r>
      <w:r>
        <w:rPr>
          <w:rFonts w:ascii="P052" w:hAnsi="P052"/>
          <w:b w:val="0"/>
          <w:i w:val="0"/>
          <w:sz w:val="21"/>
        </w:rPr>
        <w:t>2021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Provost Honors, University of California, San Diego</w:t>
      </w:r>
      <w:r>
        <w:tab/>
      </w:r>
      <w:r>
        <w:rPr>
          <w:rFonts w:ascii="P052" w:hAnsi="P052"/>
          <w:b w:val="0"/>
          <w:i w:val="0"/>
          <w:sz w:val="21"/>
        </w:rPr>
        <w:t>2019–2020</w:t>
      </w:r>
    </w:p>
    <w:p>
      <w:pPr>
        <w:tabs>
          <w:tab w:pos="9360" w:val="right"/>
        </w:tabs>
        <w:spacing w:line="240" w:lineRule="auto" w:before="200" w:after="120"/>
        <w:ind w:left="6"/>
        <w:keepNext/>
        <w:widowControl/>
        <w:pBdr>
          <w:bottom w:val="single" w:sz="3" w:color="8195B3" w:space="2"/>
        </w:pBdr>
      </w:pPr>
      <w:r>
        <w:rPr>
          <w:rFonts w:ascii="P052" w:hAnsi="P052"/>
          <w:b w:val="0"/>
          <w:i w:val="0"/>
          <w:color w:val="254478"/>
          <w:sz w:val="23"/>
        </w:rPr>
        <w:t>T</w:t>
      </w:r>
      <w:r>
        <w:rPr>
          <w:rFonts w:ascii="P052" w:hAnsi="P052"/>
          <w:b w:val="0"/>
          <w:i w:val="0"/>
          <w:color w:val="254478"/>
          <w:sz w:val="19"/>
        </w:rPr>
        <w:t>EACHING</w:t>
      </w:r>
      <w:r>
        <w:rPr>
          <w:rFonts w:ascii="P052" w:hAnsi="P052"/>
          <w:b w:val="0"/>
          <w:i w:val="0"/>
          <w:color w:val="254478"/>
          <w:sz w:val="23"/>
        </w:rPr>
        <w:t xml:space="preserve"> E</w:t>
      </w:r>
      <w:r>
        <w:rPr>
          <w:rFonts w:ascii="P052" w:hAnsi="P052"/>
          <w:b w:val="0"/>
          <w:i w:val="0"/>
          <w:color w:val="254478"/>
          <w:sz w:val="19"/>
        </w:rPr>
        <w:t>XPERIENCE</w:t>
      </w:r>
    </w:p>
    <w:p>
      <w:pPr>
        <w:keepNext/>
        <w:widowControl/>
        <w:tabs>
          <w:tab w:pos="9360" w:val="right"/>
        </w:tabs>
        <w:spacing w:line="240" w:lineRule="auto" w:before="100" w:after="60"/>
        <w:ind w:left="0"/>
      </w:pPr>
      <w:r>
        <w:rPr>
          <w:rFonts w:ascii="P052" w:hAnsi="P052"/>
          <w:b w:val="0"/>
          <w:i/>
          <w:sz w:val="21"/>
        </w:rPr>
        <w:t>Instructor of Record, Purdue University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POL 327 Global Green Politics (asynchronous online)</w:t>
      </w:r>
      <w:r>
        <w:tab/>
      </w:r>
      <w:r>
        <w:rPr>
          <w:rFonts w:ascii="P052" w:hAnsi="P052"/>
          <w:b w:val="0"/>
          <w:i w:val="0"/>
          <w:sz w:val="21"/>
        </w:rPr>
        <w:t>Winter 2026–27</w:t>
      </w:r>
    </w:p>
    <w:p>
      <w:pPr>
        <w:keepNext/>
        <w:widowControl/>
        <w:tabs>
          <w:tab w:pos="9360" w:val="right"/>
        </w:tabs>
        <w:spacing w:line="240" w:lineRule="auto" w:before="100" w:after="60"/>
        <w:ind w:left="0"/>
      </w:pPr>
      <w:r>
        <w:rPr>
          <w:rFonts w:ascii="P052" w:hAnsi="P052"/>
          <w:b w:val="0"/>
          <w:i/>
          <w:sz w:val="21"/>
        </w:rPr>
        <w:t>Lab Instructor, Purdue University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POL 605 Causal Inference (graduate)</w:t>
      </w:r>
      <w:r>
        <w:tab/>
      </w:r>
      <w:r>
        <w:rPr>
          <w:rFonts w:ascii="P052" w:hAnsi="P052"/>
          <w:b w:val="0"/>
          <w:i w:val="0"/>
          <w:sz w:val="21"/>
        </w:rPr>
        <w:t>Spring 2026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POL 601 Quantitative Methods (graduate; R)</w:t>
      </w:r>
      <w:r>
        <w:tab/>
      </w:r>
      <w:r>
        <w:rPr>
          <w:rFonts w:ascii="P052" w:hAnsi="P052"/>
          <w:b w:val="0"/>
          <w:i w:val="0"/>
          <w:sz w:val="21"/>
        </w:rPr>
        <w:t>Fall 2026</w:t>
      </w:r>
    </w:p>
    <w:p>
      <w:pPr>
        <w:keepNext/>
        <w:widowControl/>
        <w:tabs>
          <w:tab w:pos="9360" w:val="right"/>
        </w:tabs>
        <w:spacing w:line="240" w:lineRule="auto" w:before="100" w:after="60"/>
        <w:ind w:left="0"/>
      </w:pPr>
      <w:r>
        <w:rPr>
          <w:rFonts w:ascii="P052" w:hAnsi="P052"/>
          <w:b w:val="0"/>
          <w:i/>
          <w:sz w:val="21"/>
        </w:rPr>
        <w:t>Teaching Assistant, Purdue University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POL 130 Introduction to International Relations</w:t>
      </w:r>
      <w:r>
        <w:tab/>
      </w:r>
      <w:r>
        <w:rPr>
          <w:rFonts w:ascii="P052" w:hAnsi="P052"/>
          <w:b w:val="0"/>
          <w:i w:val="0"/>
          <w:sz w:val="21"/>
        </w:rPr>
        <w:t>Spring 2025, Fall 2026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POL 327 Global Green Politics</w:t>
      </w:r>
      <w:r>
        <w:tab/>
      </w:r>
      <w:r>
        <w:rPr>
          <w:rFonts w:ascii="P052" w:hAnsi="P052"/>
          <w:b w:val="0"/>
          <w:i w:val="0"/>
          <w:sz w:val="21"/>
        </w:rPr>
        <w:t>Fall 2024, Fall 2025, Spring 2026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POL 204 Spies and Lies: Studies in Intelligence and National Security</w:t>
      </w:r>
      <w:r>
        <w:tab/>
      </w:r>
      <w:r>
        <w:rPr>
          <w:rFonts w:ascii="P052" w:hAnsi="P052"/>
          <w:b w:val="0"/>
          <w:i w:val="0"/>
          <w:sz w:val="21"/>
        </w:rPr>
        <w:t>Fall 2025</w:t>
      </w:r>
    </w:p>
    <w:p>
      <w:pPr>
        <w:keepNext/>
        <w:widowControl/>
        <w:tabs>
          <w:tab w:pos="9360" w:val="right"/>
        </w:tabs>
        <w:spacing w:line="240" w:lineRule="auto" w:before="100" w:after="60"/>
        <w:ind w:left="0"/>
      </w:pPr>
      <w:r>
        <w:rPr>
          <w:rFonts w:ascii="P052" w:hAnsi="P052"/>
          <w:b w:val="0"/>
          <w:i/>
          <w:sz w:val="21"/>
        </w:rPr>
        <w:t>Other Teaching and Training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Curriculum development for college teacher training programs, UNESCO-ICHEI</w:t>
      </w:r>
      <w:r>
        <w:tab/>
      </w:r>
      <w:r>
        <w:rPr>
          <w:rFonts w:ascii="P052" w:hAnsi="P052"/>
          <w:b w:val="0"/>
          <w:i w:val="0"/>
          <w:sz w:val="21"/>
        </w:rPr>
        <w:t>2023–2024</w:t>
      </w:r>
    </w:p>
    <w:p>
      <w:pPr>
        <w:tabs>
          <w:tab w:pos="9360" w:val="right"/>
        </w:tabs>
        <w:spacing w:line="240" w:lineRule="auto" w:before="200" w:after="120"/>
        <w:ind w:left="6"/>
        <w:keepNext/>
        <w:widowControl/>
        <w:pBdr>
          <w:bottom w:val="single" w:sz="3" w:color="8195B3" w:space="2"/>
        </w:pBdr>
      </w:pPr>
      <w:r>
        <w:rPr>
          <w:rFonts w:ascii="P052" w:hAnsi="P052"/>
          <w:b w:val="0"/>
          <w:i w:val="0"/>
          <w:color w:val="254478"/>
          <w:sz w:val="23"/>
        </w:rPr>
        <w:t>R</w:t>
      </w:r>
      <w:r>
        <w:rPr>
          <w:rFonts w:ascii="P052" w:hAnsi="P052"/>
          <w:b w:val="0"/>
          <w:i w:val="0"/>
          <w:color w:val="254478"/>
          <w:sz w:val="19"/>
        </w:rPr>
        <w:t>ESEARCH</w:t>
      </w:r>
      <w:r>
        <w:rPr>
          <w:rFonts w:ascii="P052" w:hAnsi="P052"/>
          <w:b w:val="0"/>
          <w:i w:val="0"/>
          <w:color w:val="254478"/>
          <w:sz w:val="23"/>
        </w:rPr>
        <w:t xml:space="preserve"> A</w:t>
      </w:r>
      <w:r>
        <w:rPr>
          <w:rFonts w:ascii="P052" w:hAnsi="P052"/>
          <w:b w:val="0"/>
          <w:i w:val="0"/>
          <w:color w:val="254478"/>
          <w:sz w:val="19"/>
        </w:rPr>
        <w:t>SSISTANTSHIPS</w:t>
      </w:r>
    </w:p>
    <w:p>
      <w:pPr>
        <w:keepNext/>
        <w:widowControl/>
        <w:tabs>
          <w:tab w:pos="9360" w:val="right"/>
        </w:tabs>
        <w:spacing w:line="240" w:lineRule="auto" w:before="100" w:after="60"/>
        <w:ind w:left="0"/>
      </w:pPr>
      <w:r>
        <w:rPr>
          <w:rFonts w:ascii="P052" w:hAnsi="P052"/>
          <w:b w:val="0"/>
          <w:i/>
          <w:sz w:val="21"/>
        </w:rPr>
        <w:t>Purdue University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Global Digital Technology Annual Report (PI: Eddie Yang)</w:t>
      </w:r>
      <w:r>
        <w:tab/>
      </w:r>
      <w:r>
        <w:rPr>
          <w:rFonts w:ascii="P052" w:hAnsi="P052"/>
          <w:b w:val="0"/>
          <w:i w:val="0"/>
          <w:sz w:val="21"/>
        </w:rPr>
        <w:t>Summer 2026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Congress Science Bills (PI: Likun Cao)</w:t>
      </w:r>
      <w:r>
        <w:tab/>
      </w:r>
      <w:r>
        <w:rPr>
          <w:rFonts w:ascii="P052" w:hAnsi="P052"/>
          <w:b w:val="0"/>
          <w:i w:val="0"/>
          <w:sz w:val="21"/>
        </w:rPr>
        <w:t>2025–2026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California Renewable Energy Promotion (PI: Shan Zhou)</w:t>
      </w:r>
      <w:r>
        <w:tab/>
      </w:r>
      <w:r>
        <w:rPr>
          <w:rFonts w:ascii="P052" w:hAnsi="P052"/>
          <w:b w:val="0"/>
          <w:i w:val="0"/>
          <w:sz w:val="21"/>
        </w:rPr>
        <w:t>Fall 2024</w:t>
      </w:r>
    </w:p>
    <w:p>
      <w:pPr>
        <w:keepNext/>
        <w:pageBreakBefore/>
        <w:widowControl/>
        <w:tabs>
          <w:tab w:pos="9360" w:val="right"/>
        </w:tabs>
        <w:spacing w:line="240" w:lineRule="auto" w:before="100" w:after="60"/>
        <w:ind w:left="0"/>
      </w:pPr>
      <w:r>
        <w:rPr>
          <w:rFonts w:ascii="P052" w:hAnsi="P052"/>
          <w:b w:val="0"/>
          <w:i/>
          <w:sz w:val="21"/>
        </w:rPr>
        <w:t>Peking University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Guanghua School of Management</w:t>
      </w:r>
      <w:r>
        <w:tab/>
      </w:r>
      <w:r>
        <w:rPr>
          <w:rFonts w:ascii="P052" w:hAnsi="P052"/>
          <w:b w:val="0"/>
          <w:i w:val="0"/>
          <w:sz w:val="21"/>
        </w:rPr>
        <w:t>2020–2021</w:t>
      </w:r>
    </w:p>
    <w:p>
      <w:pPr>
        <w:tabs>
          <w:tab w:pos="9360" w:val="right"/>
        </w:tabs>
        <w:spacing w:line="240" w:lineRule="auto" w:before="200" w:after="120"/>
        <w:ind w:left="6"/>
        <w:keepNext/>
        <w:widowControl/>
        <w:pBdr>
          <w:bottom w:val="single" w:sz="3" w:color="8195B3" w:space="2"/>
        </w:pBdr>
      </w:pPr>
      <w:r>
        <w:rPr>
          <w:rFonts w:ascii="P052" w:hAnsi="P052"/>
          <w:b w:val="0"/>
          <w:i w:val="0"/>
          <w:color w:val="254478"/>
          <w:sz w:val="23"/>
        </w:rPr>
        <w:t>P</w:t>
      </w:r>
      <w:r>
        <w:rPr>
          <w:rFonts w:ascii="P052" w:hAnsi="P052"/>
          <w:b w:val="0"/>
          <w:i w:val="0"/>
          <w:color w:val="254478"/>
          <w:sz w:val="19"/>
        </w:rPr>
        <w:t>OLICY AND</w:t>
      </w:r>
      <w:r>
        <w:rPr>
          <w:rFonts w:ascii="P052" w:hAnsi="P052"/>
          <w:b w:val="0"/>
          <w:i w:val="0"/>
          <w:color w:val="254478"/>
          <w:sz w:val="23"/>
        </w:rPr>
        <w:t xml:space="preserve"> P</w:t>
      </w:r>
      <w:r>
        <w:rPr>
          <w:rFonts w:ascii="P052" w:hAnsi="P052"/>
          <w:b w:val="0"/>
          <w:i w:val="0"/>
          <w:color w:val="254478"/>
          <w:sz w:val="19"/>
        </w:rPr>
        <w:t>ROFESSIONAL</w:t>
      </w:r>
      <w:r>
        <w:rPr>
          <w:rFonts w:ascii="P052" w:hAnsi="P052"/>
          <w:b w:val="0"/>
          <w:i w:val="0"/>
          <w:color w:val="254478"/>
          <w:sz w:val="23"/>
        </w:rPr>
        <w:t xml:space="preserve"> E</w:t>
      </w:r>
      <w:r>
        <w:rPr>
          <w:rFonts w:ascii="P052" w:hAnsi="P052"/>
          <w:b w:val="0"/>
          <w:i w:val="0"/>
          <w:color w:val="254478"/>
          <w:sz w:val="19"/>
        </w:rPr>
        <w:t>XPERIENCE</w:t>
      </w:r>
    </w:p>
    <w:p>
      <w:pPr>
        <w:keepNext/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/>
          <w:i w:val="0"/>
          <w:sz w:val="21"/>
        </w:rPr>
        <w:t>Researcher, UNESCO-ICHEI</w:t>
      </w:r>
      <w:r>
        <w:tab/>
      </w:r>
      <w:r>
        <w:rPr>
          <w:rFonts w:ascii="P052" w:hAnsi="P052"/>
          <w:b w:val="0"/>
          <w:i w:val="0"/>
          <w:sz w:val="21"/>
        </w:rPr>
        <w:t>2023–2024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/>
          <w:sz w:val="21"/>
        </w:rPr>
        <w:t>UNESCO International Centre for Higher Education Innovation, Shenzhen, China</w:t>
      </w:r>
    </w:p>
    <w:p>
      <w:pPr>
        <w:widowControl/>
        <w:tabs>
          <w:tab w:pos="9360" w:val="right"/>
        </w:tabs>
        <w:spacing w:line="240" w:lineRule="auto" w:before="0" w:after="60"/>
        <w:ind w:left="0" w:firstLine="0"/>
      </w:pPr>
      <w:r>
        <w:rPr>
          <w:rFonts w:ascii="P052" w:hAnsi="P052"/>
          <w:b w:val="0"/>
          <w:i w:val="0"/>
          <w:sz w:val="21"/>
        </w:rPr>
        <w:t>•</w:t>
      </w:r>
      <w:r>
        <w:rPr>
          <w:rFonts w:ascii="P052" w:hAnsi="P052"/>
          <w:b w:val="0"/>
          <w:i w:val="0"/>
          <w:sz w:val="22"/>
        </w:rPr>
        <w:t xml:space="preserve"> Comparative research on the digital transformation of higher education; contributed to joint</w:t>
      </w:r>
      <w:r>
        <w:t xml:space="preserve"> </w:t>
      </w:r>
      <w:r>
        <w:rPr>
          <w:rFonts w:ascii="P052" w:hAnsi="P052"/>
          <w:b w:val="0"/>
          <w:i w:val="0"/>
          <w:sz w:val="22"/>
        </w:rPr>
        <w:t>regional and global reports, including the white paper</w:t>
      </w:r>
      <w:r>
        <w:rPr>
          <w:rFonts w:ascii="P052" w:hAnsi="P052"/>
          <w:b w:val="0"/>
          <w:i/>
          <w:sz w:val="22"/>
        </w:rPr>
        <w:t xml:space="preserve"> Higher Education in the Era of Artificial</w:t>
      </w:r>
      <w:r>
        <w:t xml:space="preserve"> </w:t>
      </w:r>
      <w:r>
        <w:rPr>
          <w:rFonts w:ascii="P052" w:hAnsi="P052"/>
          <w:b w:val="0"/>
          <w:i/>
          <w:sz w:val="21"/>
        </w:rPr>
        <w:t>Intelligence</w:t>
      </w:r>
      <w:r>
        <w:rPr>
          <w:rFonts w:ascii="P052" w:hAnsi="P052"/>
          <w:b w:val="0"/>
          <w:i w:val="0"/>
          <w:sz w:val="21"/>
        </w:rPr>
        <w:t xml:space="preserve"> (2024).</w:t>
      </w:r>
    </w:p>
    <w:p>
      <w:pPr>
        <w:keepNext/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/>
          <w:i w:val="0"/>
          <w:sz w:val="21"/>
        </w:rPr>
        <w:t>Project Manager and SAP Consultant, Inossem</w:t>
      </w:r>
      <w:r>
        <w:tab/>
      </w:r>
      <w:r>
        <w:rPr>
          <w:rFonts w:ascii="P052" w:hAnsi="P052"/>
          <w:b w:val="0"/>
          <w:i w:val="0"/>
          <w:sz w:val="21"/>
        </w:rPr>
        <w:t>2022–2023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/>
          <w:sz w:val="21"/>
        </w:rPr>
        <w:t>New Jersey, USA</w:t>
      </w:r>
    </w:p>
    <w:p>
      <w:pPr>
        <w:widowControl/>
        <w:tabs>
          <w:tab w:pos="9360" w:val="right"/>
        </w:tabs>
        <w:spacing w:line="240" w:lineRule="auto" w:before="0" w:after="60"/>
        <w:ind w:left="0" w:firstLine="0"/>
      </w:pPr>
      <w:r>
        <w:rPr>
          <w:rFonts w:ascii="P052" w:hAnsi="P052"/>
          <w:b w:val="0"/>
          <w:i w:val="0"/>
          <w:sz w:val="21"/>
        </w:rPr>
        <w:t>•</w:t>
      </w:r>
      <w:r>
        <w:rPr>
          <w:rFonts w:ascii="P052" w:hAnsi="P052"/>
          <w:b w:val="0"/>
          <w:i w:val="0"/>
          <w:sz w:val="21"/>
        </w:rPr>
        <w:t xml:space="preserve"> Managed SAP S/4HANA implementation and application management projects for corporate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clients.</w:t>
      </w:r>
    </w:p>
    <w:p>
      <w:pPr>
        <w:keepNext/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/>
          <w:i w:val="0"/>
          <w:sz w:val="21"/>
        </w:rPr>
        <w:t>Research Analyst, World Resources Institute China</w:t>
      </w:r>
      <w:r>
        <w:tab/>
      </w:r>
      <w:r>
        <w:rPr>
          <w:rFonts w:ascii="P052" w:hAnsi="P052"/>
          <w:b w:val="0"/>
          <w:i w:val="0"/>
          <w:sz w:val="21"/>
        </w:rPr>
        <w:t>2022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/>
          <w:sz w:val="21"/>
        </w:rPr>
        <w:t>Sustainable Cities Program, Beijing, China</w:t>
      </w:r>
    </w:p>
    <w:p>
      <w:pPr>
        <w:widowControl/>
        <w:tabs>
          <w:tab w:pos="9360" w:val="right"/>
        </w:tabs>
        <w:spacing w:line="240" w:lineRule="auto" w:before="0" w:after="60"/>
        <w:ind w:left="0" w:firstLine="0"/>
      </w:pPr>
      <w:r>
        <w:rPr>
          <w:rFonts w:ascii="P052" w:hAnsi="P052"/>
          <w:b w:val="0"/>
          <w:i w:val="0"/>
          <w:sz w:val="21"/>
        </w:rPr>
        <w:t>•</w:t>
      </w:r>
      <w:r>
        <w:rPr>
          <w:rFonts w:ascii="P052" w:hAnsi="P052"/>
          <w:b w:val="0"/>
          <w:i w:val="0"/>
          <w:sz w:val="22"/>
        </w:rPr>
        <w:t xml:space="preserve"> Research and data analysis on China’s “1+N” carbon policy framework for low-carbon and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resilient urban development.</w:t>
      </w:r>
    </w:p>
    <w:p>
      <w:pPr>
        <w:keepNext/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/>
          <w:i w:val="0"/>
          <w:sz w:val="21"/>
        </w:rPr>
        <w:t>Consultant, World Resources Institute</w:t>
      </w:r>
      <w:r>
        <w:tab/>
      </w:r>
      <w:r>
        <w:rPr>
          <w:rFonts w:ascii="P052" w:hAnsi="P052"/>
          <w:b w:val="0"/>
          <w:i w:val="0"/>
          <w:sz w:val="21"/>
        </w:rPr>
        <w:t>2022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/>
          <w:sz w:val="21"/>
        </w:rPr>
        <w:t>Washington, DC</w:t>
      </w:r>
    </w:p>
    <w:p>
      <w:pPr>
        <w:widowControl/>
        <w:tabs>
          <w:tab w:pos="9360" w:val="right"/>
        </w:tabs>
        <w:spacing w:line="240" w:lineRule="auto" w:before="0" w:after="60"/>
        <w:ind w:left="0" w:firstLine="0"/>
      </w:pPr>
      <w:r>
        <w:rPr>
          <w:rFonts w:ascii="P052" w:hAnsi="P052"/>
          <w:b w:val="0"/>
          <w:i w:val="0"/>
          <w:sz w:val="21"/>
        </w:rPr>
        <w:t>•</w:t>
      </w:r>
      <w:r>
        <w:rPr>
          <w:rFonts w:ascii="P052" w:hAnsi="P052"/>
          <w:b w:val="0"/>
          <w:i w:val="0"/>
          <w:sz w:val="21"/>
        </w:rPr>
        <w:t xml:space="preserve"> Comparative analysis of carbon tax design in Chile, Colombia, and Mexico and its potential to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finance land restoration (Initiative 20x20).</w:t>
      </w:r>
    </w:p>
    <w:p>
      <w:pPr>
        <w:tabs>
          <w:tab w:pos="9360" w:val="right"/>
        </w:tabs>
        <w:spacing w:line="240" w:lineRule="auto" w:before="200" w:after="120"/>
        <w:ind w:left="6"/>
        <w:keepNext/>
        <w:widowControl/>
        <w:pBdr>
          <w:bottom w:val="single" w:sz="3" w:color="8195B3" w:space="2"/>
        </w:pBdr>
      </w:pPr>
      <w:r>
        <w:rPr>
          <w:rFonts w:ascii="P052" w:hAnsi="P052"/>
          <w:b w:val="0"/>
          <w:i w:val="0"/>
          <w:color w:val="254478"/>
          <w:sz w:val="23"/>
        </w:rPr>
        <w:t>S</w:t>
      </w:r>
      <w:r>
        <w:rPr>
          <w:rFonts w:ascii="P052" w:hAnsi="P052"/>
          <w:b w:val="0"/>
          <w:i w:val="0"/>
          <w:color w:val="254478"/>
          <w:sz w:val="19"/>
        </w:rPr>
        <w:t>KILLS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/>
          <w:i w:val="0"/>
          <w:sz w:val="21"/>
        </w:rPr>
        <w:t>Programming:</w:t>
      </w:r>
      <w:r>
        <w:rPr>
          <w:rFonts w:ascii="P052" w:hAnsi="P052"/>
          <w:b w:val="0"/>
          <w:i w:val="0"/>
          <w:sz w:val="21"/>
        </w:rPr>
        <w:t xml:space="preserve"> R, Stata, Python, SQL, L</w:t>
      </w:r>
      <w:r>
        <w:rPr>
          <w:rFonts w:ascii="P052" w:hAnsi="P052"/>
          <w:b w:val="0"/>
          <w:i w:val="0"/>
          <w:sz w:val="15"/>
        </w:rPr>
        <w:t>A</w:t>
      </w:r>
      <w:r>
        <w:rPr>
          <w:rFonts w:ascii="P052" w:hAnsi="P052"/>
          <w:b w:val="0"/>
          <w:i w:val="0"/>
          <w:sz w:val="21"/>
        </w:rPr>
        <w:t>TEX, R Markdown</w:t>
      </w:r>
    </w:p>
    <w:p>
      <w:pPr>
        <w:widowControl/>
        <w:tabs>
          <w:tab w:pos="9360" w:val="right"/>
        </w:tabs>
        <w:spacing w:line="240" w:lineRule="auto" w:before="0" w:after="60"/>
        <w:ind w:left="0" w:firstLine="0"/>
      </w:pPr>
      <w:r>
        <w:rPr>
          <w:rFonts w:ascii="P052" w:hAnsi="P052"/>
          <w:b/>
          <w:i w:val="0"/>
          <w:sz w:val="22"/>
        </w:rPr>
        <w:t>Methods:</w:t>
      </w:r>
      <w:r>
        <w:rPr>
          <w:rFonts w:ascii="P052" w:hAnsi="P052"/>
          <w:b w:val="0"/>
          <w:i w:val="0"/>
          <w:sz w:val="22"/>
        </w:rPr>
        <w:t xml:space="preserve"> Multilevel models, causal forests and heterogeneous treatment effects, survey experi</w:t>
      </w:r>
      <w:r>
        <w:rPr>
          <w:rFonts w:ascii="P052" w:hAnsi="P052"/>
          <w:b w:val="0"/>
          <w:i w:val="0"/>
          <w:sz w:val="21"/>
        </w:rPr>
        <w:t>ments (Qualtrics), LLM-based text annotation and validation</w:t>
      </w:r>
    </w:p>
    <w:p>
      <w:pPr>
        <w:widowControl/>
        <w:tabs>
          <w:tab w:pos="9360" w:val="right"/>
        </w:tabs>
        <w:spacing w:line="240" w:lineRule="auto" w:before="0" w:after="60"/>
        <w:ind w:left="0" w:firstLine="0"/>
      </w:pPr>
      <w:r>
        <w:rPr>
          <w:rFonts w:ascii="P052" w:hAnsi="P052"/>
          <w:b/>
          <w:i w:val="0"/>
          <w:sz w:val="22"/>
        </w:rPr>
        <w:t>Languages:</w:t>
      </w:r>
      <w:r>
        <w:rPr>
          <w:rFonts w:ascii="P052" w:hAnsi="P052"/>
          <w:b w:val="0"/>
          <w:i w:val="0"/>
          <w:sz w:val="22"/>
        </w:rPr>
        <w:t xml:space="preserve"> Mandarin (native), Cantonese (fluent), English (fluent), Korean (conversational),</w:t>
      </w:r>
      <w:r>
        <w:t xml:space="preserve"> </w:t>
      </w:r>
      <w:r>
        <w:rPr>
          <w:rFonts w:ascii="P052" w:hAnsi="P052"/>
          <w:b w:val="0"/>
          <w:i w:val="0"/>
          <w:sz w:val="21"/>
        </w:rPr>
        <w:t>Spanish (beginner)</w:t>
      </w:r>
    </w:p>
    <w:p>
      <w:pPr>
        <w:tabs>
          <w:tab w:pos="9360" w:val="right"/>
        </w:tabs>
        <w:spacing w:line="240" w:lineRule="auto" w:before="200" w:after="120"/>
        <w:ind w:left="6"/>
        <w:keepNext/>
        <w:widowControl/>
        <w:pBdr>
          <w:bottom w:val="single" w:sz="3" w:color="8195B3" w:space="2"/>
        </w:pBdr>
      </w:pPr>
      <w:r>
        <w:rPr>
          <w:rFonts w:ascii="P052" w:hAnsi="P052"/>
          <w:b w:val="0"/>
          <w:i w:val="0"/>
          <w:color w:val="254478"/>
          <w:sz w:val="23"/>
        </w:rPr>
        <w:t>R</w:t>
      </w:r>
      <w:r>
        <w:rPr>
          <w:rFonts w:ascii="P052" w:hAnsi="P052"/>
          <w:b w:val="0"/>
          <w:i w:val="0"/>
          <w:color w:val="254478"/>
          <w:sz w:val="19"/>
        </w:rPr>
        <w:t>EFERENCES</w:t>
      </w:r>
    </w:p>
    <w:p>
      <w:pPr>
        <w:widowControl/>
        <w:tabs>
          <w:tab w:pos="9360" w:val="right"/>
        </w:tabs>
        <w:spacing w:line="240" w:lineRule="auto" w:before="0" w:after="60"/>
        <w:ind w:left="0"/>
      </w:pPr>
      <w:r>
        <w:rPr>
          <w:rFonts w:ascii="P052" w:hAnsi="P052"/>
          <w:b w:val="0"/>
          <w:i w:val="0"/>
          <w:sz w:val="21"/>
        </w:rPr>
        <w:t>Available upon request.</w:t>
      </w:r>
    </w:p>
    <w:sectPr w:rsidR="00FC693F" w:rsidRPr="0006063C" w:rsidSect="00034616">
      <w:footerReference w:type="default" r:id="rId9"/>
      <w:pgSz w:w="12240" w:h="15840"/>
      <w:pgMar w:top="1400" w:right="1380" w:bottom="1280" w:left="1440" w:header="720" w:footer="7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360" w:val="right"/>
      </w:tabs>
      <w:jc w:val="left"/>
    </w:pPr>
    <w:r>
      <w:rPr>
        <w:rFonts w:ascii="P052" w:hAnsi="P052"/>
        <w:color w:val="888888"/>
        <w:sz w:val="20"/>
      </w:rPr>
      <w:t>Jiao Ning — Curriculum Vitae</w:t>
      <w:tab/>
    </w:r>
    <w:fldSimple w:instr="PAGE"/>
    <w:r>
      <w:rPr>
        <w:rFonts w:ascii="P052" w:hAnsi="P052"/>
        <w:color w:val="888888"/>
        <w:sz w:val="20"/>
      </w:rPr>
      <w:t xml:space="preserve"> of 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P052" w:hAnsi="P0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