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Rule="auto"/>
        <w:jc w:val="both"/>
        <w:rPr>
          <w:sz w:val="36"/>
          <w:szCs w:val="36"/>
          <w:shd w:fill="fff2cc" w:val="clear"/>
        </w:rPr>
      </w:pPr>
      <w:bookmarkStart w:colFirst="0" w:colLast="0" w:name="_3fl0rkzhfeq6" w:id="0"/>
      <w:bookmarkEnd w:id="0"/>
      <w:r w:rsidDel="00000000" w:rsidR="00000000" w:rsidRPr="00000000">
        <w:rPr>
          <w:sz w:val="36"/>
          <w:szCs w:val="36"/>
          <w:rtl w:val="0"/>
        </w:rPr>
        <w:t xml:space="preserve">Data Viz Cheat Sheet for ICaP Instructors and OWL Tutors</w:t>
      </w:r>
      <w:r w:rsidDel="00000000" w:rsidR="00000000" w:rsidRPr="00000000">
        <w:rPr>
          <w:rtl w:val="0"/>
        </w:rPr>
      </w:r>
    </w:p>
    <w:p w:rsidR="00000000" w:rsidDel="00000000" w:rsidP="00000000" w:rsidRDefault="00000000" w:rsidRPr="00000000" w14:paraId="00000002">
      <w:pPr>
        <w:spacing w:after="200" w:lineRule="auto"/>
        <w:jc w:val="both"/>
        <w:rPr/>
        <w:sectPr>
          <w:headerReference r:id="rId6" w:type="first"/>
          <w:footerReference r:id="rId7" w:type="default"/>
          <w:footerReference r:id="rId8" w:type="first"/>
          <w:pgSz w:h="15840" w:w="12240" w:orient="portrait"/>
          <w:pgMar w:bottom="720" w:top="648" w:left="720" w:right="720" w:header="720" w:footer="720"/>
          <w:pgNumType w:start="1"/>
          <w:cols w:equalWidth="0" w:num="1">
            <w:col w:space="0" w:w="10800"/>
          </w:cols>
        </w:sectPr>
      </w:pPr>
      <w:r w:rsidDel="00000000" w:rsidR="00000000" w:rsidRPr="00000000">
        <w:rPr>
          <w:rtl w:val="0"/>
        </w:rPr>
        <w:t xml:space="preserve">This page will help you to think productively about how to visually represent your course evaluations data by providing helpful principles and resources. Keep in mind there are multiple ways to frame your evaluation scores through a combination of narrative, explanatory text, and charts and graphs. </w:t>
      </w:r>
      <w:r w:rsidDel="00000000" w:rsidR="00000000" w:rsidRPr="00000000">
        <w:rPr>
          <w:rtl w:val="0"/>
        </w:rPr>
      </w:r>
    </w:p>
    <w:p w:rsidR="00000000" w:rsidDel="00000000" w:rsidP="00000000" w:rsidRDefault="00000000" w:rsidRPr="00000000" w14:paraId="00000003">
      <w:pPr>
        <w:spacing w:line="276" w:lineRule="auto"/>
        <w:jc w:val="both"/>
        <w:rPr/>
        <w:sectPr>
          <w:type w:val="continuous"/>
          <w:pgSz w:h="15840" w:w="12240" w:orient="portrait"/>
          <w:pgMar w:bottom="360" w:top="360" w:left="720" w:right="720" w:header="720" w:footer="720"/>
          <w:cols w:equalWidth="0" w:num="1">
            <w:col w:space="0" w:w="10800"/>
          </w:cols>
        </w:sectPr>
      </w:pPr>
      <w:r w:rsidDel="00000000" w:rsidR="00000000" w:rsidRPr="00000000">
        <w:rPr>
          <w:b w:val="1"/>
          <w:rtl w:val="0"/>
        </w:rPr>
        <w:t xml:space="preserve">Tufte’s Principles of Graphical Design*</w:t>
      </w:r>
      <w:r w:rsidDel="00000000" w:rsidR="00000000" w:rsidRPr="00000000">
        <w:rPr>
          <w:rtl w:val="0"/>
        </w:rPr>
      </w:r>
    </w:p>
    <w:p w:rsidR="00000000" w:rsidDel="00000000" w:rsidP="00000000" w:rsidRDefault="00000000" w:rsidRPr="00000000" w14:paraId="00000004">
      <w:pPr>
        <w:numPr>
          <w:ilvl w:val="0"/>
          <w:numId w:val="2"/>
        </w:numPr>
        <w:spacing w:after="0" w:before="200" w:line="276" w:lineRule="auto"/>
        <w:ind w:left="720" w:hanging="360"/>
        <w:jc w:val="both"/>
        <w:rPr>
          <w:u w:val="none"/>
        </w:rPr>
      </w:pPr>
      <w:r w:rsidDel="00000000" w:rsidR="00000000" w:rsidRPr="00000000">
        <w:rPr>
          <w:rtl w:val="0"/>
        </w:rPr>
        <w:t xml:space="preserve">Show comparisons, contrasts, differences</w:t>
      </w:r>
    </w:p>
    <w:p w:rsidR="00000000" w:rsidDel="00000000" w:rsidP="00000000" w:rsidRDefault="00000000" w:rsidRPr="00000000" w14:paraId="00000005">
      <w:pPr>
        <w:numPr>
          <w:ilvl w:val="0"/>
          <w:numId w:val="2"/>
        </w:numPr>
        <w:spacing w:after="0" w:line="276" w:lineRule="auto"/>
        <w:ind w:left="720" w:hanging="360"/>
        <w:jc w:val="both"/>
        <w:rPr>
          <w:u w:val="none"/>
        </w:rPr>
      </w:pPr>
      <w:r w:rsidDel="00000000" w:rsidR="00000000" w:rsidRPr="00000000">
        <w:rPr>
          <w:rtl w:val="0"/>
        </w:rPr>
        <w:t xml:space="preserve">Show causality, mechanism, explanation, systematic structure</w:t>
      </w:r>
    </w:p>
    <w:p w:rsidR="00000000" w:rsidDel="00000000" w:rsidP="00000000" w:rsidRDefault="00000000" w:rsidRPr="00000000" w14:paraId="00000006">
      <w:pPr>
        <w:numPr>
          <w:ilvl w:val="0"/>
          <w:numId w:val="2"/>
        </w:numPr>
        <w:spacing w:after="0" w:line="276" w:lineRule="auto"/>
        <w:ind w:left="720" w:hanging="360"/>
        <w:jc w:val="both"/>
        <w:rPr>
          <w:u w:val="none"/>
        </w:rPr>
      </w:pPr>
      <w:r w:rsidDel="00000000" w:rsidR="00000000" w:rsidRPr="00000000">
        <w:rPr>
          <w:rtl w:val="0"/>
        </w:rPr>
        <w:t xml:space="preserve">Show multivariate data, that is show more than 1 or 2 variables</w:t>
      </w:r>
    </w:p>
    <w:p w:rsidR="00000000" w:rsidDel="00000000" w:rsidP="00000000" w:rsidRDefault="00000000" w:rsidRPr="00000000" w14:paraId="00000007">
      <w:pPr>
        <w:numPr>
          <w:ilvl w:val="0"/>
          <w:numId w:val="2"/>
        </w:numPr>
        <w:spacing w:after="0" w:line="276" w:lineRule="auto"/>
        <w:ind w:left="720" w:hanging="360"/>
        <w:jc w:val="both"/>
        <w:rPr>
          <w:u w:val="none"/>
        </w:rPr>
      </w:pPr>
      <w:r w:rsidDel="00000000" w:rsidR="00000000" w:rsidRPr="00000000">
        <w:rPr>
          <w:rtl w:val="0"/>
        </w:rPr>
        <w:t xml:space="preserve">Completely integrate words, numbers, images, diagrams</w:t>
      </w:r>
    </w:p>
    <w:p w:rsidR="00000000" w:rsidDel="00000000" w:rsidP="00000000" w:rsidRDefault="00000000" w:rsidRPr="00000000" w14:paraId="00000008">
      <w:pPr>
        <w:spacing w:after="0" w:line="276" w:lineRule="auto"/>
        <w:ind w:left="0" w:firstLine="0"/>
        <w:jc w:val="both"/>
        <w:rPr/>
      </w:pPr>
      <w:r w:rsidDel="00000000" w:rsidR="00000000" w:rsidRPr="00000000">
        <w:rPr>
          <w:rtl w:val="0"/>
        </w:rPr>
      </w:r>
    </w:p>
    <w:p w:rsidR="00000000" w:rsidDel="00000000" w:rsidP="00000000" w:rsidRDefault="00000000" w:rsidRPr="00000000" w14:paraId="00000009">
      <w:pPr>
        <w:numPr>
          <w:ilvl w:val="0"/>
          <w:numId w:val="2"/>
        </w:numPr>
        <w:spacing w:after="0" w:line="276" w:lineRule="auto"/>
        <w:ind w:left="720" w:hanging="360"/>
        <w:jc w:val="both"/>
        <w:rPr>
          <w:u w:val="none"/>
        </w:rPr>
      </w:pPr>
      <w:r w:rsidDel="00000000" w:rsidR="00000000" w:rsidRPr="00000000">
        <w:rPr>
          <w:rtl w:val="0"/>
        </w:rPr>
        <w:t xml:space="preserve">Thoroughly describe the evidence. Provide a detailed title, indicate the authors and sponsors, document the data sources, show complete measurement scales, point out relevant issues</w:t>
      </w:r>
    </w:p>
    <w:p w:rsidR="00000000" w:rsidDel="00000000" w:rsidP="00000000" w:rsidRDefault="00000000" w:rsidRPr="00000000" w14:paraId="0000000A">
      <w:pPr>
        <w:numPr>
          <w:ilvl w:val="0"/>
          <w:numId w:val="2"/>
        </w:numPr>
        <w:spacing w:after="0" w:line="276" w:lineRule="auto"/>
        <w:ind w:left="720" w:hanging="360"/>
        <w:jc w:val="both"/>
        <w:rPr>
          <w:u w:val="none"/>
        </w:rPr>
        <w:sectPr>
          <w:type w:val="continuous"/>
          <w:pgSz w:h="15840" w:w="12240" w:orient="portrait"/>
          <w:pgMar w:bottom="360" w:top="360" w:left="720" w:right="720" w:header="720" w:footer="720"/>
          <w:cols w:equalWidth="0" w:num="2">
            <w:col w:space="720" w:w="5040"/>
            <w:col w:space="0" w:w="5040"/>
          </w:cols>
        </w:sectPr>
      </w:pPr>
      <w:r w:rsidDel="00000000" w:rsidR="00000000" w:rsidRPr="00000000">
        <w:rPr>
          <w:rtl w:val="0"/>
        </w:rPr>
        <w:t xml:space="preserve">Analytical presentations ultimately stand or fall depending on the quality, relevance, and integrity of their content</w:t>
      </w:r>
    </w:p>
    <w:p w:rsidR="00000000" w:rsidDel="00000000" w:rsidP="00000000" w:rsidRDefault="00000000" w:rsidRPr="00000000" w14:paraId="0000000B">
      <w:pPr>
        <w:spacing w:after="0" w:line="276" w:lineRule="auto"/>
        <w:ind w:left="0" w:firstLine="0"/>
        <w:jc w:val="both"/>
        <w:rPr>
          <w:b w:val="1"/>
        </w:rPr>
      </w:pPr>
      <w:r w:rsidDel="00000000" w:rsidR="00000000" w:rsidRPr="00000000">
        <w:rPr>
          <w:b w:val="1"/>
          <w:rtl w:val="0"/>
        </w:rPr>
        <w:t xml:space="preserve">Other Important Ideas in Data Visualization**</w:t>
      </w:r>
    </w:p>
    <w:p w:rsidR="00000000" w:rsidDel="00000000" w:rsidP="00000000" w:rsidRDefault="00000000" w:rsidRPr="00000000" w14:paraId="0000000C">
      <w:pPr>
        <w:numPr>
          <w:ilvl w:val="0"/>
          <w:numId w:val="1"/>
        </w:numPr>
        <w:spacing w:after="0" w:before="200" w:line="276" w:lineRule="auto"/>
        <w:ind w:left="720" w:hanging="360"/>
        <w:jc w:val="both"/>
        <w:rPr/>
      </w:pPr>
      <w:r w:rsidDel="00000000" w:rsidR="00000000" w:rsidRPr="00000000">
        <w:rPr>
          <w:rtl w:val="0"/>
        </w:rPr>
        <w:t xml:space="preserve">Provide context for your visualizations</w:t>
      </w:r>
    </w:p>
    <w:p w:rsidR="00000000" w:rsidDel="00000000" w:rsidP="00000000" w:rsidRDefault="00000000" w:rsidRPr="00000000" w14:paraId="0000000D">
      <w:pPr>
        <w:numPr>
          <w:ilvl w:val="0"/>
          <w:numId w:val="1"/>
        </w:numPr>
        <w:ind w:left="720" w:hanging="360"/>
        <w:jc w:val="both"/>
      </w:pPr>
      <w:r w:rsidDel="00000000" w:rsidR="00000000" w:rsidRPr="00000000">
        <w:rPr>
          <w:rtl w:val="0"/>
        </w:rPr>
        <w:t xml:space="preserve">Think rhetorically about what story you want your data to tell</w:t>
      </w:r>
    </w:p>
    <w:p w:rsidR="00000000" w:rsidDel="00000000" w:rsidP="00000000" w:rsidRDefault="00000000" w:rsidRPr="00000000" w14:paraId="0000000E">
      <w:pPr>
        <w:numPr>
          <w:ilvl w:val="0"/>
          <w:numId w:val="1"/>
        </w:numPr>
        <w:spacing w:after="0" w:before="0" w:line="276" w:lineRule="auto"/>
        <w:ind w:left="720" w:hanging="360"/>
        <w:jc w:val="both"/>
        <w:rPr>
          <w:u w:val="none"/>
        </w:rPr>
      </w:pPr>
      <w:r w:rsidDel="00000000" w:rsidR="00000000" w:rsidRPr="00000000">
        <w:rPr>
          <w:rtl w:val="0"/>
        </w:rPr>
        <w:t xml:space="preserve">Use labels strategically to focus your audience’s attention where you want it</w:t>
      </w:r>
    </w:p>
    <w:p w:rsidR="00000000" w:rsidDel="00000000" w:rsidP="00000000" w:rsidRDefault="00000000" w:rsidRPr="00000000" w14:paraId="0000000F">
      <w:pPr>
        <w:numPr>
          <w:ilvl w:val="0"/>
          <w:numId w:val="1"/>
        </w:numPr>
        <w:spacing w:after="0" w:before="0" w:line="276" w:lineRule="auto"/>
        <w:ind w:left="720" w:hanging="360"/>
        <w:jc w:val="both"/>
        <w:rPr>
          <w:u w:val="none"/>
        </w:rPr>
      </w:pPr>
      <w:r w:rsidDel="00000000" w:rsidR="00000000" w:rsidRPr="00000000">
        <w:rPr>
          <w:rtl w:val="0"/>
        </w:rPr>
        <w:t xml:space="preserve">Avoid clutter at all costs</w:t>
      </w:r>
    </w:p>
    <w:p w:rsidR="00000000" w:rsidDel="00000000" w:rsidP="00000000" w:rsidRDefault="00000000" w:rsidRPr="00000000" w14:paraId="00000010">
      <w:pPr>
        <w:spacing w:after="0" w:line="276" w:lineRule="auto"/>
        <w:ind w:left="0" w:firstLine="0"/>
        <w:jc w:val="both"/>
        <w:rPr>
          <w:b w:val="1"/>
        </w:rPr>
      </w:pPr>
      <w:r w:rsidDel="00000000" w:rsidR="00000000" w:rsidRPr="00000000">
        <w:rPr>
          <w:rtl w:val="0"/>
        </w:rPr>
      </w:r>
    </w:p>
    <w:p w:rsidR="00000000" w:rsidDel="00000000" w:rsidP="00000000" w:rsidRDefault="00000000" w:rsidRPr="00000000" w14:paraId="00000011">
      <w:pPr>
        <w:spacing w:after="0" w:line="276" w:lineRule="auto"/>
        <w:ind w:left="0" w:firstLine="0"/>
        <w:jc w:val="both"/>
        <w:rPr>
          <w:b w:val="1"/>
        </w:rPr>
        <w:sectPr>
          <w:type w:val="continuous"/>
          <w:pgSz w:h="15840" w:w="12240" w:orient="portrait"/>
          <w:pgMar w:bottom="360" w:top="360" w:left="720" w:right="720" w:header="720" w:footer="720"/>
          <w:cols w:equalWidth="0" w:num="1">
            <w:col w:space="0" w:w="10800"/>
          </w:cols>
        </w:sectPr>
      </w:pPr>
      <w:r w:rsidDel="00000000" w:rsidR="00000000" w:rsidRPr="00000000">
        <w:rPr>
          <w:b w:val="1"/>
          <w:rtl w:val="0"/>
        </w:rPr>
        <w:t xml:space="preserve">Helpful Resources for Anyone Looking to Learn More About Data Visualization</w:t>
      </w:r>
      <w:r w:rsidDel="00000000" w:rsidR="00000000" w:rsidRPr="00000000">
        <w:rPr>
          <w:rtl w:val="0"/>
        </w:rPr>
      </w:r>
    </w:p>
    <w:p w:rsidR="00000000" w:rsidDel="00000000" w:rsidP="00000000" w:rsidRDefault="00000000" w:rsidRPr="00000000" w14:paraId="00000012">
      <w:pPr>
        <w:widowControl w:val="0"/>
        <w:numPr>
          <w:ilvl w:val="0"/>
          <w:numId w:val="4"/>
        </w:numPr>
        <w:spacing w:after="0" w:afterAutospacing="0" w:before="240" w:lineRule="auto"/>
        <w:ind w:left="720" w:hanging="360"/>
        <w:jc w:val="both"/>
        <w:rPr>
          <w:highlight w:val="white"/>
          <w:u w:val="none"/>
        </w:rPr>
      </w:pPr>
      <w:hyperlink r:id="rId9">
        <w:r w:rsidDel="00000000" w:rsidR="00000000" w:rsidRPr="00000000">
          <w:rPr>
            <w:color w:val="1155cc"/>
            <w:highlight w:val="white"/>
            <w:u w:val="single"/>
            <w:rtl w:val="0"/>
          </w:rPr>
          <w:t xml:space="preserve">Storytelling with Data by Cole Nussbaumer Knaflic</w:t>
        </w:r>
      </w:hyperlink>
      <w:r w:rsidDel="00000000" w:rsidR="00000000" w:rsidRPr="00000000">
        <w:rPr>
          <w:rtl w:val="0"/>
        </w:rPr>
      </w:r>
    </w:p>
    <w:p w:rsidR="00000000" w:rsidDel="00000000" w:rsidP="00000000" w:rsidRDefault="00000000" w:rsidRPr="00000000" w14:paraId="00000013">
      <w:pPr>
        <w:widowControl w:val="0"/>
        <w:numPr>
          <w:ilvl w:val="1"/>
          <w:numId w:val="4"/>
        </w:numPr>
        <w:spacing w:after="0" w:afterAutospacing="0" w:before="0" w:beforeAutospacing="0" w:lineRule="auto"/>
        <w:ind w:left="1440" w:hanging="360"/>
        <w:jc w:val="both"/>
        <w:rPr>
          <w:u w:val="none"/>
        </w:rPr>
      </w:pPr>
      <w:r w:rsidDel="00000000" w:rsidR="00000000" w:rsidRPr="00000000">
        <w:rPr>
          <w:rtl w:val="0"/>
        </w:rPr>
        <w:t xml:space="preserve">Provides clear guidance on selecting the best type of visualization for your data</w:t>
      </w:r>
      <w:r w:rsidDel="00000000" w:rsidR="00000000" w:rsidRPr="00000000">
        <w:rPr>
          <w:rtl w:val="0"/>
        </w:rPr>
      </w:r>
    </w:p>
    <w:p w:rsidR="00000000" w:rsidDel="00000000" w:rsidP="00000000" w:rsidRDefault="00000000" w:rsidRPr="00000000" w14:paraId="00000014">
      <w:pPr>
        <w:widowControl w:val="0"/>
        <w:numPr>
          <w:ilvl w:val="0"/>
          <w:numId w:val="4"/>
        </w:numPr>
        <w:spacing w:after="0" w:afterAutospacing="0" w:before="0" w:beforeAutospacing="0" w:lineRule="auto"/>
        <w:ind w:left="720" w:hanging="360"/>
        <w:jc w:val="both"/>
        <w:rPr>
          <w:highlight w:val="white"/>
          <w:u w:val="none"/>
        </w:rPr>
      </w:pPr>
      <w:hyperlink r:id="rId10">
        <w:r w:rsidDel="00000000" w:rsidR="00000000" w:rsidRPr="00000000">
          <w:rPr>
            <w:color w:val="1155cc"/>
            <w:highlight w:val="white"/>
            <w:u w:val="single"/>
            <w:rtl w:val="0"/>
          </w:rPr>
          <w:t xml:space="preserve">Multiple texts from Edward Tufte</w:t>
        </w:r>
      </w:hyperlink>
      <w:r w:rsidDel="00000000" w:rsidR="00000000" w:rsidRPr="00000000">
        <w:rPr>
          <w:rtl w:val="0"/>
        </w:rPr>
      </w:r>
    </w:p>
    <w:p w:rsidR="00000000" w:rsidDel="00000000" w:rsidP="00000000" w:rsidRDefault="00000000" w:rsidRPr="00000000" w14:paraId="00000015">
      <w:pPr>
        <w:widowControl w:val="0"/>
        <w:numPr>
          <w:ilvl w:val="1"/>
          <w:numId w:val="4"/>
        </w:numPr>
        <w:spacing w:after="0" w:afterAutospacing="0" w:before="0" w:beforeAutospacing="0" w:lineRule="auto"/>
        <w:ind w:left="1440" w:hanging="360"/>
        <w:jc w:val="both"/>
        <w:rPr>
          <w:highlight w:val="white"/>
          <w:u w:val="none"/>
        </w:rPr>
      </w:pPr>
      <w:r w:rsidDel="00000000" w:rsidR="00000000" w:rsidRPr="00000000">
        <w:rPr>
          <w:highlight w:val="white"/>
          <w:rtl w:val="0"/>
        </w:rPr>
        <w:t xml:space="preserve">Tufte is the canonical name in data viz</w:t>
      </w:r>
    </w:p>
    <w:p w:rsidR="00000000" w:rsidDel="00000000" w:rsidP="00000000" w:rsidRDefault="00000000" w:rsidRPr="00000000" w14:paraId="00000016">
      <w:pPr>
        <w:widowControl w:val="0"/>
        <w:numPr>
          <w:ilvl w:val="0"/>
          <w:numId w:val="4"/>
        </w:numPr>
        <w:spacing w:after="0" w:afterAutospacing="0" w:before="0" w:beforeAutospacing="0" w:lineRule="auto"/>
        <w:ind w:left="720" w:hanging="360"/>
        <w:jc w:val="both"/>
        <w:rPr>
          <w:highlight w:val="white"/>
          <w:u w:val="none"/>
        </w:rPr>
      </w:pPr>
      <w:hyperlink r:id="rId11">
        <w:r w:rsidDel="00000000" w:rsidR="00000000" w:rsidRPr="00000000">
          <w:rPr>
            <w:color w:val="1155cc"/>
            <w:highlight w:val="white"/>
            <w:u w:val="single"/>
            <w:rtl w:val="0"/>
          </w:rPr>
          <w:t xml:space="preserve">Information is Beautiful by David McCandless</w:t>
        </w:r>
      </w:hyperlink>
      <w:r w:rsidDel="00000000" w:rsidR="00000000" w:rsidRPr="00000000">
        <w:rPr>
          <w:rtl w:val="0"/>
        </w:rPr>
      </w:r>
    </w:p>
    <w:p w:rsidR="00000000" w:rsidDel="00000000" w:rsidP="00000000" w:rsidRDefault="00000000" w:rsidRPr="00000000" w14:paraId="00000017">
      <w:pPr>
        <w:widowControl w:val="0"/>
        <w:numPr>
          <w:ilvl w:val="1"/>
          <w:numId w:val="4"/>
        </w:numPr>
        <w:spacing w:after="240" w:before="0" w:beforeAutospacing="0" w:lineRule="auto"/>
        <w:ind w:left="1440" w:hanging="360"/>
        <w:jc w:val="both"/>
        <w:rPr>
          <w:highlight w:val="white"/>
          <w:u w:val="none"/>
        </w:rPr>
      </w:pPr>
      <w:r w:rsidDel="00000000" w:rsidR="00000000" w:rsidRPr="00000000">
        <w:rPr>
          <w:highlight w:val="white"/>
          <w:rtl w:val="0"/>
        </w:rPr>
        <w:t xml:space="preserve">Focuses on how to make sleek, modern visualizations</w:t>
      </w:r>
    </w:p>
    <w:p w:rsidR="00000000" w:rsidDel="00000000" w:rsidP="00000000" w:rsidRDefault="00000000" w:rsidRPr="00000000" w14:paraId="00000018">
      <w:pPr>
        <w:widowControl w:val="0"/>
        <w:spacing w:after="240" w:before="240" w:lineRule="auto"/>
        <w:jc w:val="both"/>
        <w:rPr>
          <w:highlight w:val="white"/>
        </w:rPr>
      </w:pPr>
      <w:r w:rsidDel="00000000" w:rsidR="00000000" w:rsidRPr="00000000">
        <w:rPr>
          <w:b w:val="1"/>
          <w:highlight w:val="white"/>
          <w:rtl w:val="0"/>
        </w:rPr>
        <w:t xml:space="preserve">Tools for Visualizing Your Data</w:t>
      </w:r>
      <w:r w:rsidDel="00000000" w:rsidR="00000000" w:rsidRPr="00000000">
        <w:rPr>
          <w:rtl w:val="0"/>
        </w:rPr>
      </w:r>
    </w:p>
    <w:p w:rsidR="00000000" w:rsidDel="00000000" w:rsidP="00000000" w:rsidRDefault="00000000" w:rsidRPr="00000000" w14:paraId="00000019">
      <w:pPr>
        <w:widowControl w:val="0"/>
        <w:numPr>
          <w:ilvl w:val="0"/>
          <w:numId w:val="3"/>
        </w:numPr>
        <w:spacing w:after="0" w:afterAutospacing="0" w:before="240" w:lineRule="auto"/>
        <w:ind w:left="720" w:hanging="360"/>
        <w:jc w:val="both"/>
        <w:rPr>
          <w:highlight w:val="white"/>
          <w:u w:val="none"/>
        </w:rPr>
      </w:pPr>
      <w:r w:rsidDel="00000000" w:rsidR="00000000" w:rsidRPr="00000000">
        <w:rPr>
          <w:highlight w:val="white"/>
          <w:rtl w:val="0"/>
        </w:rPr>
        <w:t xml:space="preserve">Google Slides &amp; Sheets</w:t>
      </w:r>
    </w:p>
    <w:p w:rsidR="00000000" w:rsidDel="00000000" w:rsidP="00000000" w:rsidRDefault="00000000" w:rsidRPr="00000000" w14:paraId="0000001A">
      <w:pPr>
        <w:widowControl w:val="0"/>
        <w:numPr>
          <w:ilvl w:val="0"/>
          <w:numId w:val="3"/>
        </w:numPr>
        <w:spacing w:after="0" w:afterAutospacing="0" w:before="0" w:beforeAutospacing="0" w:lineRule="auto"/>
        <w:ind w:left="720" w:hanging="360"/>
        <w:jc w:val="both"/>
        <w:rPr>
          <w:highlight w:val="white"/>
          <w:u w:val="none"/>
        </w:rPr>
      </w:pPr>
      <w:r w:rsidDel="00000000" w:rsidR="00000000" w:rsidRPr="00000000">
        <w:rPr>
          <w:highlight w:val="white"/>
          <w:rtl w:val="0"/>
        </w:rPr>
        <w:t xml:space="preserve">Microsoft Excel</w:t>
      </w:r>
    </w:p>
    <w:p w:rsidR="00000000" w:rsidDel="00000000" w:rsidP="00000000" w:rsidRDefault="00000000" w:rsidRPr="00000000" w14:paraId="0000001B">
      <w:pPr>
        <w:widowControl w:val="0"/>
        <w:numPr>
          <w:ilvl w:val="0"/>
          <w:numId w:val="3"/>
        </w:numPr>
        <w:spacing w:after="240" w:before="0" w:beforeAutospacing="0" w:lineRule="auto"/>
        <w:ind w:left="720" w:hanging="360"/>
        <w:jc w:val="both"/>
        <w:rPr>
          <w:highlight w:val="white"/>
          <w:u w:val="none"/>
        </w:rPr>
      </w:pPr>
      <w:r w:rsidDel="00000000" w:rsidR="00000000" w:rsidRPr="00000000">
        <w:rPr>
          <w:highlight w:val="white"/>
          <w:rtl w:val="0"/>
        </w:rPr>
        <w:t xml:space="preserve">Canva</w:t>
      </w:r>
    </w:p>
    <w:p w:rsidR="00000000" w:rsidDel="00000000" w:rsidP="00000000" w:rsidRDefault="00000000" w:rsidRPr="00000000" w14:paraId="0000001C">
      <w:pPr>
        <w:widowControl w:val="0"/>
        <w:spacing w:after="240" w:before="240" w:lineRule="auto"/>
        <w:jc w:val="both"/>
        <w:rPr>
          <w:highlight w:val="white"/>
        </w:rPr>
      </w:pPr>
      <w:r w:rsidDel="00000000" w:rsidR="00000000" w:rsidRPr="00000000">
        <w:rPr>
          <w:rtl w:val="0"/>
        </w:rPr>
      </w:r>
    </w:p>
    <w:p w:rsidR="00000000" w:rsidDel="00000000" w:rsidP="00000000" w:rsidRDefault="00000000" w:rsidRPr="00000000" w14:paraId="0000001D">
      <w:pPr>
        <w:widowControl w:val="0"/>
        <w:spacing w:after="240" w:before="240" w:lineRule="auto"/>
        <w:jc w:val="both"/>
        <w:rPr>
          <w:highlight w:val="white"/>
        </w:rPr>
      </w:pPr>
      <w:r w:rsidDel="00000000" w:rsidR="00000000" w:rsidRPr="00000000">
        <w:rPr>
          <w:rtl w:val="0"/>
        </w:rPr>
      </w:r>
    </w:p>
    <w:p w:rsidR="00000000" w:rsidDel="00000000" w:rsidP="00000000" w:rsidRDefault="00000000" w:rsidRPr="00000000" w14:paraId="0000001E">
      <w:pPr>
        <w:widowControl w:val="0"/>
        <w:spacing w:after="240" w:before="240" w:lineRule="auto"/>
        <w:jc w:val="both"/>
        <w:rPr>
          <w:highlight w:val="white"/>
        </w:rPr>
      </w:pPr>
      <w:r w:rsidDel="00000000" w:rsidR="00000000" w:rsidRPr="00000000">
        <w:rPr>
          <w:rtl w:val="0"/>
        </w:rPr>
      </w:r>
    </w:p>
    <w:p w:rsidR="00000000" w:rsidDel="00000000" w:rsidP="00000000" w:rsidRDefault="00000000" w:rsidRPr="00000000" w14:paraId="0000001F">
      <w:pPr>
        <w:widowControl w:val="0"/>
        <w:spacing w:after="240" w:before="240" w:lineRule="auto"/>
        <w:jc w:val="both"/>
        <w:rPr>
          <w:highlight w:val="white"/>
        </w:rPr>
      </w:pPr>
      <w:r w:rsidDel="00000000" w:rsidR="00000000" w:rsidRPr="00000000">
        <w:rPr>
          <w:rtl w:val="0"/>
        </w:rPr>
      </w:r>
    </w:p>
    <w:p w:rsidR="00000000" w:rsidDel="00000000" w:rsidP="00000000" w:rsidRDefault="00000000" w:rsidRPr="00000000" w14:paraId="00000020">
      <w:pPr>
        <w:widowControl w:val="0"/>
        <w:spacing w:after="240" w:before="240" w:lineRule="auto"/>
        <w:jc w:val="both"/>
        <w:rPr>
          <w:highlight w:val="white"/>
        </w:rPr>
      </w:pPr>
      <w:r w:rsidDel="00000000" w:rsidR="00000000" w:rsidRPr="00000000">
        <w:rPr>
          <w:rtl w:val="0"/>
        </w:rPr>
      </w:r>
    </w:p>
    <w:p w:rsidR="00000000" w:rsidDel="00000000" w:rsidP="00000000" w:rsidRDefault="00000000" w:rsidRPr="00000000" w14:paraId="00000021">
      <w:pPr>
        <w:widowControl w:val="0"/>
        <w:spacing w:after="240" w:before="240" w:lineRule="auto"/>
        <w:jc w:val="both"/>
        <w:rPr>
          <w:i w:val="1"/>
          <w:highlight w:val="white"/>
        </w:rPr>
        <w:sectPr>
          <w:type w:val="continuous"/>
          <w:pgSz w:h="15840" w:w="12240" w:orient="portrait"/>
          <w:pgMar w:bottom="360" w:top="360" w:left="720" w:right="720" w:header="720" w:footer="720"/>
          <w:cols w:equalWidth="0" w:num="1">
            <w:col w:space="0" w:w="10800"/>
          </w:cols>
        </w:sectPr>
      </w:pPr>
      <w:r w:rsidDel="00000000" w:rsidR="00000000" w:rsidRPr="00000000">
        <w:rPr>
          <w:highlight w:val="white"/>
          <w:rtl w:val="0"/>
        </w:rPr>
        <w:t xml:space="preserve">*</w:t>
        <w:tab/>
        <w:t xml:space="preserve">Adapted from Tufte’s </w:t>
      </w:r>
      <w:r w:rsidDel="00000000" w:rsidR="00000000" w:rsidRPr="00000000">
        <w:rPr>
          <w:i w:val="1"/>
          <w:highlight w:val="white"/>
          <w:rtl w:val="0"/>
        </w:rPr>
        <w:t xml:space="preserve">Beautiful Evidence</w:t>
        <w:br w:type="textWrapping"/>
      </w:r>
      <w:r w:rsidDel="00000000" w:rsidR="00000000" w:rsidRPr="00000000">
        <w:rPr>
          <w:highlight w:val="white"/>
          <w:rtl w:val="0"/>
        </w:rPr>
        <w:t xml:space="preserve">**</w:t>
        <w:tab/>
        <w:t xml:space="preserve">Adapted from Knaflic’s </w:t>
      </w:r>
      <w:r w:rsidDel="00000000" w:rsidR="00000000" w:rsidRPr="00000000">
        <w:rPr>
          <w:i w:val="1"/>
          <w:highlight w:val="white"/>
          <w:rtl w:val="0"/>
        </w:rPr>
        <w:t xml:space="preserve">Storytelling with Data</w:t>
      </w:r>
      <w:r w:rsidDel="00000000" w:rsidR="00000000" w:rsidRPr="00000000">
        <w:rPr>
          <w:rtl w:val="0"/>
        </w:rPr>
      </w:r>
    </w:p>
    <w:p w:rsidR="00000000" w:rsidDel="00000000" w:rsidP="00000000" w:rsidRDefault="00000000" w:rsidRPr="00000000" w14:paraId="00000022">
      <w:pPr>
        <w:widowControl w:val="0"/>
        <w:spacing w:line="240" w:lineRule="auto"/>
        <w:jc w:val="both"/>
        <w:rPr/>
      </w:pPr>
      <w:r w:rsidDel="00000000" w:rsidR="00000000" w:rsidRPr="00000000">
        <w:rPr>
          <w:rtl w:val="0"/>
        </w:rPr>
      </w:r>
    </w:p>
    <w:sectPr>
      <w:type w:val="continuous"/>
      <w:pgSz w:h="15840" w:w="12240" w:orient="portrait"/>
      <w:pgMar w:bottom="360" w:top="36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after="20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jc w:val="center"/>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nformationisbeautiful.net/" TargetMode="External"/><Relationship Id="rId10" Type="http://schemas.openxmlformats.org/officeDocument/2006/relationships/hyperlink" Target="https://www.edwardtufte.com/tufte/" TargetMode="External"/><Relationship Id="rId9" Type="http://schemas.openxmlformats.org/officeDocument/2006/relationships/hyperlink" Target="https://www.storytellingwithdata.com/"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